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kern w:val="0"/>
          <w:sz w:val="32"/>
          <w:szCs w:val="32"/>
        </w:rPr>
      </w:pPr>
    </w:p>
    <w:p>
      <w:pPr>
        <w:rPr>
          <w:rFonts w:hint="default" w:ascii="Times New Roman" w:hAnsi="Times New Roman" w:eastAsia="黑体" w:cs="Times New Roman"/>
          <w:kern w:val="0"/>
          <w:sz w:val="72"/>
          <w:szCs w:val="72"/>
        </w:rPr>
      </w:pPr>
    </w:p>
    <w:p>
      <w:pPr>
        <w:rPr>
          <w:rFonts w:hint="default" w:ascii="Times New Roman" w:hAnsi="Times New Roman" w:eastAsia="黑体" w:cs="Times New Roman"/>
          <w:kern w:val="0"/>
          <w:sz w:val="72"/>
          <w:szCs w:val="72"/>
        </w:rPr>
      </w:pPr>
    </w:p>
    <w:p>
      <w:pPr>
        <w:jc w:val="center"/>
        <w:rPr>
          <w:rFonts w:hint="default" w:ascii="Times New Roman" w:hAnsi="Times New Roman" w:eastAsia="黑体" w:cs="Times New Roman"/>
          <w:bCs/>
          <w:color w:val="000000"/>
          <w:sz w:val="52"/>
          <w:szCs w:val="52"/>
          <w:lang w:val="en-US" w:eastAsia="zh-CN"/>
        </w:rPr>
      </w:pPr>
      <w:r>
        <w:rPr>
          <w:rFonts w:hint="default" w:ascii="Times New Roman" w:hAnsi="Times New Roman" w:eastAsia="黑体" w:cs="Times New Roman"/>
          <w:kern w:val="0"/>
          <w:sz w:val="52"/>
          <w:szCs w:val="52"/>
        </w:rPr>
        <w:t>柳州市</w:t>
      </w:r>
      <w:r>
        <w:rPr>
          <w:rFonts w:hint="default" w:ascii="Times New Roman" w:hAnsi="Times New Roman" w:eastAsia="黑体" w:cs="Times New Roman"/>
          <w:kern w:val="0"/>
          <w:sz w:val="52"/>
          <w:szCs w:val="52"/>
          <w:lang w:eastAsia="zh-CN"/>
        </w:rPr>
        <w:t>信访信息中心</w:t>
      </w:r>
    </w:p>
    <w:p>
      <w:pPr>
        <w:jc w:val="center"/>
        <w:rPr>
          <w:rFonts w:hint="default" w:ascii="Times New Roman" w:hAnsi="Times New Roman" w:eastAsia="黑体" w:cs="Times New Roman"/>
          <w:kern w:val="0"/>
          <w:sz w:val="52"/>
          <w:szCs w:val="52"/>
        </w:rPr>
      </w:pPr>
      <w:r>
        <w:rPr>
          <w:rFonts w:hint="default" w:ascii="Times New Roman" w:hAnsi="Times New Roman" w:eastAsia="黑体" w:cs="Times New Roman"/>
          <w:kern w:val="0"/>
          <w:sz w:val="52"/>
          <w:szCs w:val="52"/>
        </w:rPr>
        <w:t>2020年度</w:t>
      </w:r>
      <w:r>
        <w:rPr>
          <w:rFonts w:hint="eastAsia" w:eastAsia="黑体" w:cs="Times New Roman"/>
          <w:kern w:val="0"/>
          <w:sz w:val="52"/>
          <w:szCs w:val="52"/>
          <w:lang w:eastAsia="zh-CN"/>
        </w:rPr>
        <w:t>单位</w:t>
      </w:r>
      <w:bookmarkStart w:id="0" w:name="_GoBack"/>
      <w:bookmarkEnd w:id="0"/>
      <w:r>
        <w:rPr>
          <w:rFonts w:hint="default" w:ascii="Times New Roman" w:hAnsi="Times New Roman" w:eastAsia="黑体" w:cs="Times New Roman"/>
          <w:kern w:val="0"/>
          <w:sz w:val="52"/>
          <w:szCs w:val="52"/>
        </w:rPr>
        <w:t>决算</w:t>
      </w:r>
    </w:p>
    <w:p>
      <w:pPr>
        <w:rPr>
          <w:rFonts w:hint="default" w:ascii="Times New Roman" w:hAnsi="Times New Roman" w:eastAsia="ArialUnicodeMS" w:cs="Times New Roman"/>
          <w:kern w:val="0"/>
          <w:sz w:val="84"/>
          <w:szCs w:val="84"/>
        </w:rPr>
      </w:pPr>
    </w:p>
    <w:p>
      <w:pPr>
        <w:rPr>
          <w:rFonts w:hint="default" w:ascii="Times New Roman" w:hAnsi="Times New Roman" w:eastAsia="ArialUnicodeMS" w:cs="Times New Roman"/>
          <w:kern w:val="0"/>
          <w:sz w:val="84"/>
          <w:szCs w:val="84"/>
        </w:rPr>
      </w:pPr>
    </w:p>
    <w:p>
      <w:pPr>
        <w:rPr>
          <w:rFonts w:hint="default" w:ascii="Times New Roman" w:hAnsi="Times New Roman" w:eastAsia="ArialUnicodeMS" w:cs="Times New Roman"/>
          <w:kern w:val="0"/>
          <w:sz w:val="84"/>
          <w:szCs w:val="84"/>
        </w:rPr>
      </w:pPr>
    </w:p>
    <w:p>
      <w:pPr>
        <w:rPr>
          <w:rFonts w:hint="default" w:ascii="Times New Roman" w:hAnsi="Times New Roman" w:eastAsia="ArialUnicodeMS" w:cs="Times New Roman"/>
          <w:kern w:val="0"/>
          <w:sz w:val="84"/>
          <w:szCs w:val="84"/>
        </w:rPr>
      </w:pPr>
    </w:p>
    <w:p>
      <w:pPr>
        <w:rPr>
          <w:rFonts w:hint="default" w:ascii="Times New Roman" w:hAnsi="Times New Roman" w:eastAsia="ArialUnicodeMS" w:cs="Times New Roman"/>
          <w:kern w:val="0"/>
          <w:sz w:val="84"/>
          <w:szCs w:val="84"/>
        </w:rPr>
      </w:pPr>
    </w:p>
    <w:p>
      <w:pPr>
        <w:rPr>
          <w:rFonts w:hint="default" w:ascii="Times New Roman" w:hAnsi="Times New Roman" w:eastAsia="ArialUnicodeMS" w:cs="Times New Roman"/>
          <w:kern w:val="0"/>
          <w:sz w:val="84"/>
          <w:szCs w:val="84"/>
        </w:rPr>
      </w:pPr>
    </w:p>
    <w:p>
      <w:pPr>
        <w:rPr>
          <w:rFonts w:hint="default" w:ascii="Times New Roman" w:hAnsi="Times New Roman" w:eastAsia="ArialUnicodeMS" w:cs="Times New Roman"/>
          <w:kern w:val="0"/>
          <w:sz w:val="84"/>
          <w:szCs w:val="84"/>
        </w:rPr>
      </w:pPr>
    </w:p>
    <w:p>
      <w:pPr>
        <w:jc w:val="center"/>
        <w:rPr>
          <w:rFonts w:hint="default" w:ascii="Times New Roman" w:hAnsi="Times New Roman" w:eastAsia="黑体" w:cs="Times New Roman"/>
          <w:kern w:val="0"/>
          <w:sz w:val="44"/>
          <w:szCs w:val="44"/>
        </w:rPr>
      </w:pPr>
    </w:p>
    <w:p>
      <w:pPr>
        <w:ind w:firstLine="646"/>
        <w:jc w:val="center"/>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目    录</w:t>
      </w:r>
    </w:p>
    <w:p>
      <w:pPr>
        <w:ind w:firstLine="645"/>
        <w:rPr>
          <w:rFonts w:hint="default" w:ascii="Times New Roman" w:hAnsi="Times New Roman" w:eastAsia="仿宋_GB2312" w:cs="Times New Roman"/>
          <w:b/>
          <w:sz w:val="32"/>
          <w:szCs w:val="32"/>
        </w:rPr>
      </w:pPr>
    </w:p>
    <w:p>
      <w:pPr>
        <w:ind w:firstLine="645"/>
        <w:rPr>
          <w:rFonts w:hint="default" w:ascii="Times New Roman" w:hAnsi="Times New Roman" w:eastAsia="仿宋_GB2312" w:cs="Times New Roman"/>
          <w:b/>
          <w:sz w:val="32"/>
          <w:szCs w:val="32"/>
          <w:u w:val="none"/>
        </w:rPr>
      </w:pPr>
      <w:r>
        <w:rPr>
          <w:rFonts w:hint="default" w:ascii="Times New Roman" w:hAnsi="Times New Roman" w:eastAsia="仿宋_GB2312" w:cs="Times New Roman"/>
          <w:b/>
          <w:sz w:val="32"/>
          <w:szCs w:val="32"/>
          <w:u w:val="none"/>
        </w:rPr>
        <w:t>第一部分：</w:t>
      </w:r>
      <w:r>
        <w:rPr>
          <w:rFonts w:hint="default" w:ascii="Times New Roman" w:hAnsi="Times New Roman" w:eastAsia="仿宋_GB2312" w:cs="Times New Roman"/>
          <w:b/>
          <w:bCs/>
          <w:color w:val="000000"/>
          <w:sz w:val="32"/>
          <w:szCs w:val="32"/>
          <w:u w:val="none"/>
          <w:lang w:eastAsia="zh-CN"/>
        </w:rPr>
        <w:t>柳州市信访信息中心</w:t>
      </w:r>
      <w:r>
        <w:rPr>
          <w:rFonts w:hint="default" w:ascii="Times New Roman" w:hAnsi="Times New Roman" w:eastAsia="仿宋_GB2312" w:cs="Times New Roman"/>
          <w:b/>
          <w:sz w:val="32"/>
          <w:szCs w:val="32"/>
          <w:u w:val="none"/>
        </w:rPr>
        <w:t>概况</w:t>
      </w:r>
    </w:p>
    <w:p>
      <w:pPr>
        <w:numPr>
          <w:ilvl w:val="0"/>
          <w:numId w:val="1"/>
        </w:numPr>
        <w:ind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主要职能</w:t>
      </w:r>
    </w:p>
    <w:p>
      <w:pPr>
        <w:numPr>
          <w:ilvl w:val="0"/>
          <w:numId w:val="1"/>
        </w:numPr>
        <w:ind w:firstLine="645"/>
        <w:rPr>
          <w:rFonts w:hint="default" w:ascii="Times New Roman" w:hAnsi="Times New Roman" w:eastAsia="仿宋_GB2312" w:cs="Times New Roman"/>
          <w:sz w:val="32"/>
          <w:szCs w:val="32"/>
        </w:rPr>
      </w:pPr>
      <w:r>
        <w:rPr>
          <w:rFonts w:hint="eastAsia" w:ascii="仿宋_GB2312" w:eastAsia="仿宋_GB2312"/>
          <w:sz w:val="32"/>
          <w:szCs w:val="32"/>
          <w:lang w:val="en-US" w:eastAsia="zh-CN"/>
        </w:rPr>
        <w:t>单位机构设置情况</w:t>
      </w:r>
    </w:p>
    <w:p>
      <w:pPr>
        <w:ind w:firstLine="645"/>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第二部分：</w:t>
      </w:r>
      <w:r>
        <w:rPr>
          <w:rFonts w:hint="default" w:ascii="Times New Roman" w:hAnsi="Times New Roman" w:eastAsia="仿宋_GB2312" w:cs="Times New Roman"/>
          <w:b/>
          <w:bCs/>
          <w:color w:val="000000"/>
          <w:sz w:val="32"/>
          <w:szCs w:val="32"/>
          <w:u w:val="none"/>
          <w:lang w:eastAsia="zh-CN"/>
        </w:rPr>
        <w:t>柳州市信访信息中心</w:t>
      </w:r>
      <w:r>
        <w:rPr>
          <w:rFonts w:hint="default" w:ascii="Times New Roman" w:hAnsi="Times New Roman" w:eastAsia="仿宋_GB2312" w:cs="Times New Roman"/>
          <w:b/>
          <w:sz w:val="32"/>
          <w:szCs w:val="32"/>
        </w:rPr>
        <w:t>2020年部门决算报表</w:t>
      </w:r>
    </w:p>
    <w:p>
      <w:pPr>
        <w:ind w:left="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表一：收入支出决算总表</w:t>
      </w:r>
    </w:p>
    <w:p>
      <w:pPr>
        <w:ind w:left="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表二：收入决算表</w:t>
      </w:r>
    </w:p>
    <w:p>
      <w:pPr>
        <w:ind w:left="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表三：支出决算表</w:t>
      </w:r>
    </w:p>
    <w:p>
      <w:pPr>
        <w:ind w:left="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表四：财政拨款收入支出决算总表</w:t>
      </w:r>
    </w:p>
    <w:p>
      <w:pPr>
        <w:ind w:left="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表五：一般公共预算财政拨款支出决算表</w:t>
      </w:r>
    </w:p>
    <w:p>
      <w:pPr>
        <w:ind w:left="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表六：一般公共预算财政拨款基本支出决算表</w:t>
      </w:r>
    </w:p>
    <w:p>
      <w:pPr>
        <w:ind w:left="1605" w:leftChars="307" w:hanging="960" w:hangingChars="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表七：</w:t>
      </w:r>
      <w:r>
        <w:rPr>
          <w:rFonts w:hint="default" w:ascii="Times New Roman" w:hAnsi="Times New Roman" w:eastAsia="仿宋_GB2312" w:cs="Times New Roman"/>
          <w:sz w:val="28"/>
          <w:szCs w:val="28"/>
        </w:rPr>
        <w:t>一般公共预算财政拨款安排的“三公”经费支出决算表</w:t>
      </w:r>
    </w:p>
    <w:p>
      <w:pPr>
        <w:ind w:left="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表八：政府性基金预算财政拨款收入支出决算表</w:t>
      </w:r>
    </w:p>
    <w:p>
      <w:pPr>
        <w:ind w:left="645"/>
        <w:rPr>
          <w:rFonts w:hint="default" w:ascii="Times New Roman" w:hAnsi="Times New Roman" w:eastAsia="仿宋_GB2312" w:cs="Times New Roman"/>
          <w:sz w:val="32"/>
          <w:szCs w:val="32"/>
          <w:highlight w:val="yellow"/>
          <w:lang w:eastAsia="zh-CN"/>
        </w:rPr>
      </w:pPr>
      <w:r>
        <w:rPr>
          <w:rFonts w:hint="default" w:ascii="Times New Roman" w:hAnsi="Times New Roman" w:eastAsia="仿宋_GB2312" w:cs="Times New Roman"/>
          <w:sz w:val="32"/>
          <w:szCs w:val="32"/>
          <w:highlight w:val="none"/>
          <w:lang w:eastAsia="zh-CN"/>
        </w:rPr>
        <w:t>表九：国有资本经营预算财政拨款支出决算表</w:t>
      </w:r>
    </w:p>
    <w:p>
      <w:pPr>
        <w:ind w:firstLine="645"/>
        <w:rPr>
          <w:rFonts w:hint="default" w:ascii="Times New Roman" w:hAnsi="Times New Roman" w:eastAsia="仿宋_GB2312" w:cs="Times New Roman"/>
          <w:b/>
          <w:sz w:val="28"/>
          <w:szCs w:val="28"/>
        </w:rPr>
      </w:pPr>
      <w:r>
        <w:rPr>
          <w:rFonts w:hint="default" w:ascii="Times New Roman" w:hAnsi="Times New Roman" w:eastAsia="仿宋_GB2312" w:cs="Times New Roman"/>
          <w:b/>
          <w:sz w:val="32"/>
          <w:szCs w:val="32"/>
        </w:rPr>
        <w:t>第三部分：</w:t>
      </w:r>
      <w:r>
        <w:rPr>
          <w:rFonts w:hint="default" w:ascii="Times New Roman" w:hAnsi="Times New Roman" w:eastAsia="仿宋_GB2312" w:cs="Times New Roman"/>
          <w:b/>
          <w:bCs/>
          <w:color w:val="000000"/>
          <w:sz w:val="28"/>
          <w:szCs w:val="28"/>
          <w:u w:val="none"/>
          <w:lang w:eastAsia="zh-CN"/>
        </w:rPr>
        <w:t>柳州市信访信息中心</w:t>
      </w:r>
      <w:r>
        <w:rPr>
          <w:rFonts w:hint="default" w:ascii="Times New Roman" w:hAnsi="Times New Roman" w:eastAsia="仿宋_GB2312" w:cs="Times New Roman"/>
          <w:b/>
          <w:sz w:val="28"/>
          <w:szCs w:val="28"/>
        </w:rPr>
        <w:t>2020年度部门决算情况说明</w:t>
      </w:r>
    </w:p>
    <w:p>
      <w:pPr>
        <w:autoSpaceDE w:val="0"/>
        <w:autoSpaceDN w:val="0"/>
        <w:adjustRightInd w:val="0"/>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一、2020 年度收入支出决算总体情况。</w:t>
      </w:r>
    </w:p>
    <w:p>
      <w:pPr>
        <w:autoSpaceDE w:val="0"/>
        <w:autoSpaceDN w:val="0"/>
        <w:adjustRightInd w:val="0"/>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二、2020 年度收入决算情况。</w:t>
      </w:r>
    </w:p>
    <w:p>
      <w:pPr>
        <w:autoSpaceDE w:val="0"/>
        <w:autoSpaceDN w:val="0"/>
        <w:adjustRightInd w:val="0"/>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三、2020 年度支出决算情况</w:t>
      </w:r>
    </w:p>
    <w:p>
      <w:pPr>
        <w:autoSpaceDE w:val="0"/>
        <w:autoSpaceDN w:val="0"/>
        <w:adjustRightInd w:val="0"/>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四、2020年度财政拨款收入支出决算情况</w:t>
      </w:r>
    </w:p>
    <w:p>
      <w:pPr>
        <w:autoSpaceDE w:val="0"/>
        <w:autoSpaceDN w:val="0"/>
        <w:adjustRightInd w:val="0"/>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五、2020 年度一般公共预算财政拨款支出决算情况</w:t>
      </w:r>
    </w:p>
    <w:p>
      <w:pPr>
        <w:autoSpaceDE w:val="0"/>
        <w:autoSpaceDN w:val="0"/>
        <w:adjustRightInd w:val="0"/>
        <w:ind w:firstLine="640" w:firstLineChars="200"/>
        <w:jc w:val="lef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rPr>
        <w:t>六、2020 年度</w:t>
      </w:r>
      <w:r>
        <w:rPr>
          <w:rFonts w:hint="default" w:ascii="Times New Roman" w:hAnsi="Times New Roman" w:eastAsia="仿宋_GB2312" w:cs="Times New Roman"/>
          <w:kern w:val="0"/>
          <w:sz w:val="32"/>
          <w:szCs w:val="32"/>
          <w:highlight w:val="none"/>
        </w:rPr>
        <w:t>一般公共预算财政拨款基本支出决算情况</w:t>
      </w:r>
    </w:p>
    <w:p>
      <w:pPr>
        <w:autoSpaceDE w:val="0"/>
        <w:autoSpaceDN w:val="0"/>
        <w:adjustRightInd w:val="0"/>
        <w:ind w:left="1278" w:leftChars="304" w:hanging="640" w:hangingChars="200"/>
        <w:jc w:val="left"/>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七、2020 年度一般公共预算财政拨款“三公”经费支出决算情况</w:t>
      </w:r>
    </w:p>
    <w:p>
      <w:pPr>
        <w:autoSpaceDE w:val="0"/>
        <w:autoSpaceDN w:val="0"/>
        <w:adjustRightInd w:val="0"/>
        <w:ind w:firstLine="640" w:firstLineChars="200"/>
        <w:jc w:val="left"/>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kern w:val="0"/>
          <w:sz w:val="32"/>
          <w:szCs w:val="32"/>
          <w:highlight w:val="none"/>
        </w:rPr>
        <w:t>八、2020</w:t>
      </w:r>
      <w:r>
        <w:rPr>
          <w:rFonts w:hint="default" w:ascii="Times New Roman" w:hAnsi="Times New Roman" w:eastAsia="仿宋_GB2312" w:cs="Times New Roman"/>
          <w:bCs/>
          <w:kern w:val="0"/>
          <w:sz w:val="32"/>
          <w:szCs w:val="32"/>
          <w:highlight w:val="none"/>
        </w:rPr>
        <w:t xml:space="preserve"> 年度政府性基金预算财政拨款收入</w:t>
      </w:r>
    </w:p>
    <w:p>
      <w:pPr>
        <w:autoSpaceDE w:val="0"/>
        <w:autoSpaceDN w:val="0"/>
        <w:adjustRightInd w:val="0"/>
        <w:ind w:firstLine="640" w:firstLineChars="200"/>
        <w:jc w:val="left"/>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bCs/>
          <w:kern w:val="0"/>
          <w:sz w:val="32"/>
          <w:szCs w:val="32"/>
          <w:highlight w:val="none"/>
        </w:rPr>
        <w:t>支出决算情况</w:t>
      </w:r>
    </w:p>
    <w:p>
      <w:pPr>
        <w:ind w:left="645"/>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bCs/>
          <w:kern w:val="0"/>
          <w:sz w:val="32"/>
          <w:szCs w:val="32"/>
          <w:highlight w:val="none"/>
        </w:rPr>
        <w:t>九、</w:t>
      </w:r>
      <w:r>
        <w:rPr>
          <w:rFonts w:hint="default" w:ascii="Times New Roman" w:hAnsi="Times New Roman" w:eastAsia="仿宋_GB2312" w:cs="Times New Roman"/>
          <w:sz w:val="32"/>
          <w:szCs w:val="32"/>
          <w:highlight w:val="none"/>
          <w:lang w:eastAsia="zh-CN"/>
        </w:rPr>
        <w:t>国有资本经营预算财政拨款支出决算情况</w:t>
      </w:r>
    </w:p>
    <w:p>
      <w:pPr>
        <w:autoSpaceDE w:val="0"/>
        <w:autoSpaceDN w:val="0"/>
        <w:adjustRightInd w:val="0"/>
        <w:ind w:firstLine="640" w:firstLineChars="200"/>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lang w:eastAsia="zh-CN"/>
        </w:rPr>
        <w:t>十、</w:t>
      </w:r>
      <w:r>
        <w:rPr>
          <w:rFonts w:hint="default" w:ascii="Times New Roman" w:hAnsi="Times New Roman" w:eastAsia="仿宋_GB2312" w:cs="Times New Roman"/>
          <w:kern w:val="0"/>
          <w:sz w:val="32"/>
          <w:szCs w:val="32"/>
        </w:rPr>
        <w:t>2020</w:t>
      </w:r>
      <w:r>
        <w:rPr>
          <w:rFonts w:hint="default" w:ascii="Times New Roman" w:hAnsi="Times New Roman" w:eastAsia="仿宋_GB2312" w:cs="Times New Roman"/>
          <w:bCs/>
          <w:kern w:val="0"/>
          <w:sz w:val="32"/>
          <w:szCs w:val="32"/>
        </w:rPr>
        <w:t xml:space="preserve"> 年度预算绩效情况说明</w:t>
      </w:r>
    </w:p>
    <w:p>
      <w:pPr>
        <w:autoSpaceDE w:val="0"/>
        <w:autoSpaceDN w:val="0"/>
        <w:adjustRightInd w:val="0"/>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bCs/>
          <w:kern w:val="0"/>
          <w:sz w:val="32"/>
          <w:szCs w:val="32"/>
        </w:rPr>
        <w:t>十</w:t>
      </w:r>
      <w:r>
        <w:rPr>
          <w:rFonts w:hint="default" w:ascii="Times New Roman" w:hAnsi="Times New Roman" w:eastAsia="仿宋_GB2312" w:cs="Times New Roman"/>
          <w:bCs/>
          <w:kern w:val="0"/>
          <w:sz w:val="32"/>
          <w:szCs w:val="32"/>
          <w:lang w:eastAsia="zh-CN"/>
        </w:rPr>
        <w:t>一</w:t>
      </w:r>
      <w:r>
        <w:rPr>
          <w:rFonts w:hint="default" w:ascii="Times New Roman" w:hAnsi="Times New Roman" w:eastAsia="仿宋_GB2312" w:cs="Times New Roman"/>
          <w:bCs/>
          <w:kern w:val="0"/>
          <w:sz w:val="32"/>
          <w:szCs w:val="32"/>
        </w:rPr>
        <w:t>、其他重要事项的情况说明</w:t>
      </w:r>
    </w:p>
    <w:p>
      <w:pPr>
        <w:ind w:firstLine="645"/>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第四部分：名词解释</w:t>
      </w:r>
    </w:p>
    <w:p>
      <w:pPr>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Cs/>
          <w:kern w:val="0"/>
          <w:sz w:val="32"/>
          <w:szCs w:val="32"/>
        </w:rPr>
        <w:br w:type="page"/>
      </w:r>
      <w:r>
        <w:rPr>
          <w:rFonts w:hint="default" w:ascii="Times New Roman" w:hAnsi="Times New Roman" w:eastAsia="仿宋_GB2312" w:cs="Times New Roman"/>
          <w:b/>
          <w:sz w:val="32"/>
          <w:szCs w:val="32"/>
        </w:rPr>
        <w:t>第一部分：</w:t>
      </w:r>
      <w:r>
        <w:rPr>
          <w:rFonts w:hint="default" w:ascii="Times New Roman" w:hAnsi="Times New Roman" w:eastAsia="仿宋_GB2312" w:cs="Times New Roman"/>
          <w:b/>
          <w:bCs/>
          <w:color w:val="000000"/>
          <w:sz w:val="32"/>
          <w:szCs w:val="32"/>
          <w:u w:val="none"/>
          <w:lang w:eastAsia="zh-CN"/>
        </w:rPr>
        <w:t>柳州市信访信息中心</w:t>
      </w:r>
      <w:r>
        <w:rPr>
          <w:rFonts w:hint="default" w:ascii="Times New Roman" w:hAnsi="Times New Roman" w:eastAsia="仿宋_GB2312" w:cs="Times New Roman"/>
          <w:b/>
          <w:sz w:val="32"/>
          <w:szCs w:val="32"/>
        </w:rPr>
        <w:t>概况</w:t>
      </w:r>
    </w:p>
    <w:p>
      <w:pPr>
        <w:ind w:firstLine="64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一、主要职能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000000"/>
          <w:kern w:val="0"/>
          <w:sz w:val="32"/>
          <w:szCs w:val="32"/>
          <w:lang w:val="en-US" w:eastAsia="zh-CN" w:bidi="ar-SA"/>
        </w:rPr>
      </w:pPr>
      <w:r>
        <w:rPr>
          <w:rFonts w:hint="default" w:ascii="Times New Roman" w:hAnsi="Times New Roman" w:eastAsia="仿宋_GB2312" w:cs="Times New Roman"/>
          <w:b w:val="0"/>
          <w:bCs/>
          <w:color w:val="000000"/>
          <w:kern w:val="0"/>
          <w:sz w:val="32"/>
          <w:szCs w:val="32"/>
          <w:lang w:val="en-US" w:eastAsia="zh-CN" w:bidi="ar-SA"/>
        </w:rPr>
        <w:t>1、为全市信访工作和信访信息系统提供服务和技术保障。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000000"/>
          <w:kern w:val="0"/>
          <w:sz w:val="32"/>
          <w:szCs w:val="32"/>
          <w:lang w:val="en-US" w:eastAsia="zh-CN" w:bidi="ar-SA"/>
        </w:rPr>
      </w:pPr>
      <w:r>
        <w:rPr>
          <w:rFonts w:hint="default" w:ascii="Times New Roman" w:hAnsi="Times New Roman" w:eastAsia="仿宋_GB2312" w:cs="Times New Roman"/>
          <w:b w:val="0"/>
          <w:bCs/>
          <w:color w:val="000000"/>
          <w:kern w:val="0"/>
          <w:sz w:val="32"/>
          <w:szCs w:val="32"/>
          <w:lang w:val="en-US" w:eastAsia="zh-CN" w:bidi="ar-SA"/>
        </w:rPr>
        <w:t>2、负责全市信访信息系统的建设、管理、维护、指导及业务培训工作；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000000"/>
          <w:kern w:val="0"/>
          <w:sz w:val="32"/>
          <w:szCs w:val="32"/>
          <w:lang w:val="en-US" w:eastAsia="zh-CN" w:bidi="ar-SA"/>
        </w:rPr>
      </w:pPr>
      <w:r>
        <w:rPr>
          <w:rFonts w:hint="default" w:ascii="Times New Roman" w:hAnsi="Times New Roman" w:eastAsia="仿宋_GB2312" w:cs="Times New Roman"/>
          <w:b w:val="0"/>
          <w:bCs/>
          <w:color w:val="000000"/>
          <w:kern w:val="0"/>
          <w:sz w:val="32"/>
          <w:szCs w:val="32"/>
          <w:lang w:val="en-US" w:eastAsia="zh-CN" w:bidi="ar-SA"/>
        </w:rPr>
        <w:t>3、负责网上信访数据统计分析、考核评估等基础业务工作。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eastAsia="仿宋_GB2312" w:cs="Times New Roman"/>
          <w:b w:val="0"/>
          <w:bCs/>
          <w:color w:val="000000"/>
          <w:kern w:val="0"/>
          <w:sz w:val="32"/>
          <w:szCs w:val="32"/>
          <w:lang w:val="en-US" w:eastAsia="zh-CN" w:bidi="ar-SA"/>
        </w:rPr>
        <w:t>二、</w:t>
      </w:r>
      <w:r>
        <w:rPr>
          <w:rFonts w:hint="eastAsia" w:ascii="仿宋_GB2312" w:eastAsia="仿宋_GB2312"/>
          <w:sz w:val="32"/>
          <w:szCs w:val="32"/>
          <w:lang w:val="en-US" w:eastAsia="zh-CN"/>
        </w:rPr>
        <w:t>单位机构设置情况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柳州市信访信息中心是公益一类，财政全额拨款事业单位，主管部门是中共柳州市委员会柳州市人民政府信访局。现有</w:t>
      </w:r>
      <w:r>
        <w:rPr>
          <w:rFonts w:hint="eastAsia" w:ascii="仿宋_GB2312" w:eastAsia="仿宋_GB2312"/>
          <w:sz w:val="32"/>
          <w:szCs w:val="32"/>
          <w:lang w:val="en-US" w:eastAsia="zh-CN"/>
        </w:rPr>
        <w:t>事业编制数4个，财政资金管理聘用人员控制数6个，截止至2020年12月31日共有在职在编人员3名，聘用人员6名。</w:t>
      </w:r>
    </w:p>
    <w:p>
      <w:pPr>
        <w:spacing w:line="720" w:lineRule="auto"/>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第二部分：</w:t>
      </w:r>
      <w:r>
        <w:rPr>
          <w:rFonts w:hint="default" w:ascii="Times New Roman" w:hAnsi="Times New Roman" w:eastAsia="仿宋_GB2312" w:cs="Times New Roman"/>
          <w:b/>
          <w:bCs/>
          <w:color w:val="000000"/>
          <w:sz w:val="32"/>
          <w:szCs w:val="32"/>
          <w:u w:val="none"/>
          <w:lang w:eastAsia="zh-CN"/>
        </w:rPr>
        <w:t>柳州市信访信息中心</w:t>
      </w:r>
      <w:r>
        <w:rPr>
          <w:rFonts w:hint="default" w:ascii="Times New Roman" w:hAnsi="Times New Roman" w:eastAsia="仿宋_GB2312" w:cs="Times New Roman"/>
          <w:b/>
          <w:sz w:val="32"/>
          <w:szCs w:val="32"/>
        </w:rPr>
        <w:t>2020年</w:t>
      </w:r>
      <w:r>
        <w:rPr>
          <w:rFonts w:hint="eastAsia" w:eastAsia="仿宋_GB2312" w:cs="Times New Roman"/>
          <w:b/>
          <w:sz w:val="32"/>
          <w:szCs w:val="32"/>
          <w:lang w:eastAsia="zh-CN"/>
        </w:rPr>
        <w:t>单位</w:t>
      </w:r>
      <w:r>
        <w:rPr>
          <w:rFonts w:hint="default" w:ascii="Times New Roman" w:hAnsi="Times New Roman" w:eastAsia="仿宋_GB2312" w:cs="Times New Roman"/>
          <w:b/>
          <w:sz w:val="32"/>
          <w:szCs w:val="32"/>
        </w:rPr>
        <w:t>决算报表</w:t>
      </w:r>
    </w:p>
    <w:p>
      <w:pPr>
        <w:rPr>
          <w:rFonts w:hint="default" w:ascii="Times New Roman" w:hAnsi="Times New Roman" w:cs="Times New Roman"/>
        </w:rPr>
      </w:pPr>
    </w:p>
    <w:tbl>
      <w:tblPr>
        <w:tblStyle w:val="6"/>
        <w:tblW w:w="8940" w:type="dxa"/>
        <w:jc w:val="center"/>
        <w:tblLayout w:type="fixed"/>
        <w:tblCellMar>
          <w:top w:w="0" w:type="dxa"/>
          <w:left w:w="108" w:type="dxa"/>
          <w:bottom w:w="0" w:type="dxa"/>
          <w:right w:w="108" w:type="dxa"/>
        </w:tblCellMar>
      </w:tblPr>
      <w:tblGrid>
        <w:gridCol w:w="3527"/>
        <w:gridCol w:w="920"/>
        <w:gridCol w:w="3289"/>
        <w:gridCol w:w="919"/>
        <w:gridCol w:w="285"/>
      </w:tblGrid>
      <w:tr>
        <w:tblPrEx>
          <w:tblCellMar>
            <w:top w:w="0" w:type="dxa"/>
            <w:left w:w="108" w:type="dxa"/>
            <w:bottom w:w="0" w:type="dxa"/>
            <w:right w:w="108" w:type="dxa"/>
          </w:tblCellMar>
        </w:tblPrEx>
        <w:trPr>
          <w:gridAfter w:val="1"/>
          <w:wAfter w:w="285" w:type="dxa"/>
          <w:trHeight w:val="570" w:hRule="atLeast"/>
          <w:jc w:val="center"/>
        </w:trPr>
        <w:tc>
          <w:tcPr>
            <w:tcW w:w="8655" w:type="dxa"/>
            <w:gridSpan w:val="4"/>
            <w:tcBorders>
              <w:top w:val="nil"/>
              <w:left w:val="nil"/>
              <w:bottom w:val="nil"/>
              <w:right w:val="nil"/>
            </w:tcBorders>
            <w:vAlign w:val="bottom"/>
          </w:tcPr>
          <w:p>
            <w:pPr>
              <w:widowControl/>
              <w:jc w:val="center"/>
              <w:rPr>
                <w:rFonts w:hint="default" w:ascii="Times New Roman" w:hAnsi="Times New Roman" w:eastAsia="方正小标宋简体" w:cs="Times New Roman"/>
                <w:kern w:val="0"/>
                <w:sz w:val="36"/>
                <w:szCs w:val="36"/>
                <w:highlight w:val="none"/>
              </w:rPr>
            </w:pPr>
            <w:r>
              <w:rPr>
                <w:rFonts w:hint="default" w:ascii="Times New Roman" w:hAnsi="Times New Roman" w:eastAsia="方正小标宋简体" w:cs="Times New Roman"/>
                <w:kern w:val="0"/>
                <w:sz w:val="36"/>
                <w:szCs w:val="36"/>
                <w:highlight w:val="none"/>
              </w:rPr>
              <w:t>表一：收入支出决算总表</w:t>
            </w:r>
          </w:p>
          <w:p>
            <w:pPr>
              <w:widowControl/>
              <w:jc w:val="right"/>
              <w:rPr>
                <w:rFonts w:hint="default" w:ascii="Times New Roman" w:hAnsi="Times New Roman" w:cs="Times New Roman"/>
                <w:kern w:val="0"/>
                <w:sz w:val="22"/>
                <w:szCs w:val="22"/>
                <w:highlight w:val="none"/>
              </w:rPr>
            </w:pPr>
            <w:r>
              <w:rPr>
                <w:rFonts w:hint="default" w:ascii="Times New Roman" w:hAnsi="Times New Roman" w:cs="Times New Roman"/>
                <w:kern w:val="0"/>
                <w:sz w:val="22"/>
                <w:szCs w:val="22"/>
                <w:highlight w:val="none"/>
              </w:rPr>
              <w:t>单位：万元</w:t>
            </w:r>
          </w:p>
        </w:tc>
      </w:tr>
      <w:tr>
        <w:tblPrEx>
          <w:tblCellMar>
            <w:top w:w="0" w:type="dxa"/>
            <w:left w:w="108" w:type="dxa"/>
            <w:bottom w:w="0" w:type="dxa"/>
            <w:right w:w="108" w:type="dxa"/>
          </w:tblCellMar>
        </w:tblPrEx>
        <w:trPr>
          <w:trHeight w:val="270" w:hRule="atLeast"/>
          <w:jc w:val="center"/>
        </w:trPr>
        <w:tc>
          <w:tcPr>
            <w:tcW w:w="4447"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rPr>
              <w:t>收    入</w:t>
            </w:r>
          </w:p>
        </w:tc>
        <w:tc>
          <w:tcPr>
            <w:tcW w:w="4493" w:type="dxa"/>
            <w:gridSpan w:val="3"/>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rPr>
              <w:t>支    出</w:t>
            </w:r>
          </w:p>
        </w:tc>
      </w:tr>
      <w:tr>
        <w:tblPrEx>
          <w:tblCellMar>
            <w:top w:w="0" w:type="dxa"/>
            <w:left w:w="108" w:type="dxa"/>
            <w:bottom w:w="0" w:type="dxa"/>
            <w:right w:w="108" w:type="dxa"/>
          </w:tblCellMar>
        </w:tblPrEx>
        <w:trPr>
          <w:trHeight w:val="270" w:hRule="atLeast"/>
          <w:jc w:val="center"/>
        </w:trPr>
        <w:tc>
          <w:tcPr>
            <w:tcW w:w="3527"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rPr>
              <w:t>项目</w:t>
            </w:r>
          </w:p>
        </w:tc>
        <w:tc>
          <w:tcPr>
            <w:tcW w:w="92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rPr>
              <w:t>决算数</w:t>
            </w:r>
          </w:p>
        </w:tc>
        <w:tc>
          <w:tcPr>
            <w:tcW w:w="328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rPr>
              <w:t>项目</w:t>
            </w:r>
          </w:p>
        </w:tc>
        <w:tc>
          <w:tcPr>
            <w:tcW w:w="1204"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rPr>
              <w:t>决算数</w:t>
            </w:r>
          </w:p>
        </w:tc>
      </w:tr>
      <w:tr>
        <w:tblPrEx>
          <w:tblCellMar>
            <w:top w:w="0" w:type="dxa"/>
            <w:left w:w="108" w:type="dxa"/>
            <w:bottom w:w="0" w:type="dxa"/>
            <w:right w:w="108" w:type="dxa"/>
          </w:tblCellMar>
        </w:tblPrEx>
        <w:trPr>
          <w:trHeight w:val="283" w:hRule="atLeast"/>
          <w:jc w:val="center"/>
        </w:trPr>
        <w:tc>
          <w:tcPr>
            <w:tcW w:w="3527"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2"/>
                <w:szCs w:val="22"/>
                <w:highlight w:val="none"/>
                <w:lang w:eastAsia="zh-CN"/>
              </w:rPr>
            </w:pPr>
            <w:r>
              <w:rPr>
                <w:rFonts w:hint="default" w:ascii="Times New Roman" w:hAnsi="Times New Roman" w:cs="Times New Roman"/>
                <w:color w:val="000000"/>
                <w:kern w:val="0"/>
                <w:sz w:val="22"/>
                <w:szCs w:val="22"/>
                <w:highlight w:val="none"/>
              </w:rPr>
              <w:t>一、</w:t>
            </w:r>
            <w:r>
              <w:rPr>
                <w:rFonts w:hint="default" w:ascii="Times New Roman" w:hAnsi="Times New Roman" w:cs="Times New Roman"/>
                <w:color w:val="000000"/>
                <w:kern w:val="0"/>
                <w:sz w:val="22"/>
                <w:szCs w:val="22"/>
                <w:highlight w:val="none"/>
                <w:lang w:eastAsia="zh-CN"/>
              </w:rPr>
              <w:t>一般公共预算财政拨款收入</w:t>
            </w:r>
          </w:p>
        </w:tc>
        <w:tc>
          <w:tcPr>
            <w:tcW w:w="92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2"/>
                <w:szCs w:val="22"/>
                <w:highlight w:val="none"/>
                <w:lang w:val="en-US" w:eastAsia="zh-CN"/>
              </w:rPr>
            </w:pPr>
            <w:r>
              <w:rPr>
                <w:rFonts w:hint="default" w:ascii="Times New Roman" w:hAnsi="Times New Roman" w:cs="Times New Roman"/>
                <w:color w:val="000000"/>
                <w:kern w:val="0"/>
                <w:sz w:val="22"/>
                <w:szCs w:val="22"/>
                <w:highlight w:val="none"/>
                <w:lang w:val="en-US" w:eastAsia="zh-CN"/>
              </w:rPr>
              <w:t>59.85</w:t>
            </w:r>
          </w:p>
        </w:tc>
        <w:tc>
          <w:tcPr>
            <w:tcW w:w="328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highlight w:val="none"/>
              </w:rPr>
            </w:pPr>
            <w:r>
              <w:rPr>
                <w:rFonts w:hint="default" w:ascii="Times New Roman" w:hAnsi="Times New Roman" w:eastAsia="宋体" w:cs="Times New Roman"/>
                <w:i w:val="0"/>
                <w:color w:val="000000"/>
                <w:kern w:val="0"/>
                <w:sz w:val="22"/>
                <w:szCs w:val="22"/>
                <w:highlight w:val="none"/>
                <w:u w:val="none"/>
                <w:lang w:val="en-US" w:eastAsia="zh-CN" w:bidi="ar"/>
              </w:rPr>
              <w:t>一、一般公共服务支出</w:t>
            </w:r>
          </w:p>
        </w:tc>
        <w:tc>
          <w:tcPr>
            <w:tcW w:w="1204"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2"/>
                <w:szCs w:val="22"/>
                <w:highlight w:val="none"/>
                <w:lang w:val="en-US" w:eastAsia="zh-CN"/>
              </w:rPr>
            </w:pPr>
            <w:r>
              <w:rPr>
                <w:rFonts w:hint="default" w:ascii="Times New Roman" w:hAnsi="Times New Roman" w:cs="Times New Roman"/>
                <w:color w:val="000000"/>
                <w:kern w:val="0"/>
                <w:sz w:val="22"/>
                <w:szCs w:val="22"/>
                <w:highlight w:val="none"/>
                <w:lang w:val="en-US" w:eastAsia="zh-CN"/>
              </w:rPr>
              <w:t>49.55</w:t>
            </w:r>
          </w:p>
        </w:tc>
      </w:tr>
      <w:tr>
        <w:tblPrEx>
          <w:tblCellMar>
            <w:top w:w="0" w:type="dxa"/>
            <w:left w:w="108" w:type="dxa"/>
            <w:bottom w:w="0" w:type="dxa"/>
            <w:right w:w="108" w:type="dxa"/>
          </w:tblCellMar>
        </w:tblPrEx>
        <w:trPr>
          <w:trHeight w:val="283" w:hRule="atLeast"/>
          <w:jc w:val="center"/>
        </w:trPr>
        <w:tc>
          <w:tcPr>
            <w:tcW w:w="3527"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2"/>
                <w:szCs w:val="22"/>
                <w:highlight w:val="none"/>
                <w:lang w:eastAsia="zh-CN"/>
              </w:rPr>
            </w:pPr>
            <w:r>
              <w:rPr>
                <w:rFonts w:hint="default" w:ascii="Times New Roman" w:hAnsi="Times New Roman" w:cs="Times New Roman"/>
                <w:color w:val="000000"/>
                <w:kern w:val="0"/>
                <w:sz w:val="22"/>
                <w:szCs w:val="22"/>
                <w:highlight w:val="none"/>
              </w:rPr>
              <w:t>二、</w:t>
            </w:r>
            <w:r>
              <w:rPr>
                <w:rFonts w:hint="default" w:ascii="Times New Roman" w:hAnsi="Times New Roman" w:cs="Times New Roman"/>
                <w:color w:val="000000"/>
                <w:kern w:val="0"/>
                <w:sz w:val="22"/>
                <w:szCs w:val="22"/>
                <w:highlight w:val="none"/>
                <w:lang w:eastAsia="zh-CN"/>
              </w:rPr>
              <w:t>政府性基金预算财政拨款收入</w:t>
            </w:r>
          </w:p>
        </w:tc>
        <w:tc>
          <w:tcPr>
            <w:tcW w:w="92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highlight w:val="none"/>
              </w:rPr>
            </w:pPr>
          </w:p>
        </w:tc>
        <w:tc>
          <w:tcPr>
            <w:tcW w:w="328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highlight w:val="none"/>
              </w:rPr>
            </w:pPr>
            <w:r>
              <w:rPr>
                <w:rFonts w:hint="default" w:ascii="Times New Roman" w:hAnsi="Times New Roman" w:eastAsia="宋体" w:cs="Times New Roman"/>
                <w:i w:val="0"/>
                <w:color w:val="000000"/>
                <w:kern w:val="0"/>
                <w:sz w:val="22"/>
                <w:szCs w:val="22"/>
                <w:highlight w:val="none"/>
                <w:u w:val="none"/>
                <w:lang w:val="en-US" w:eastAsia="zh-CN" w:bidi="ar"/>
              </w:rPr>
              <w:t>二、外交支出</w:t>
            </w:r>
          </w:p>
        </w:tc>
        <w:tc>
          <w:tcPr>
            <w:tcW w:w="1204" w:type="dxa"/>
            <w:gridSpan w:val="2"/>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rPr>
              <w:t>　</w:t>
            </w:r>
          </w:p>
        </w:tc>
      </w:tr>
      <w:tr>
        <w:tblPrEx>
          <w:tblCellMar>
            <w:top w:w="0" w:type="dxa"/>
            <w:left w:w="108" w:type="dxa"/>
            <w:bottom w:w="0" w:type="dxa"/>
            <w:right w:w="108" w:type="dxa"/>
          </w:tblCellMar>
        </w:tblPrEx>
        <w:trPr>
          <w:trHeight w:val="283" w:hRule="atLeast"/>
          <w:jc w:val="center"/>
        </w:trPr>
        <w:tc>
          <w:tcPr>
            <w:tcW w:w="3527"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lang w:eastAsia="zh-CN"/>
              </w:rPr>
              <w:t>三</w:t>
            </w:r>
            <w:r>
              <w:rPr>
                <w:rFonts w:hint="default" w:ascii="Times New Roman" w:hAnsi="Times New Roman" w:cs="Times New Roman"/>
                <w:color w:val="000000"/>
                <w:kern w:val="0"/>
                <w:sz w:val="22"/>
                <w:szCs w:val="22"/>
                <w:highlight w:val="none"/>
              </w:rPr>
              <w:t>、</w:t>
            </w:r>
            <w:r>
              <w:rPr>
                <w:rFonts w:hint="default" w:ascii="Times New Roman" w:hAnsi="Times New Roman" w:cs="Times New Roman"/>
                <w:color w:val="000000"/>
                <w:kern w:val="0"/>
                <w:sz w:val="22"/>
                <w:szCs w:val="22"/>
                <w:highlight w:val="none"/>
                <w:lang w:eastAsia="zh-CN"/>
              </w:rPr>
              <w:t>上级补助</w:t>
            </w:r>
            <w:r>
              <w:rPr>
                <w:rFonts w:hint="default" w:ascii="Times New Roman" w:hAnsi="Times New Roman" w:cs="Times New Roman"/>
                <w:color w:val="000000"/>
                <w:kern w:val="0"/>
                <w:sz w:val="22"/>
                <w:szCs w:val="22"/>
                <w:highlight w:val="none"/>
              </w:rPr>
              <w:t>收入</w:t>
            </w:r>
          </w:p>
        </w:tc>
        <w:tc>
          <w:tcPr>
            <w:tcW w:w="92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rPr>
              <w:t>　</w:t>
            </w:r>
          </w:p>
        </w:tc>
        <w:tc>
          <w:tcPr>
            <w:tcW w:w="328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highlight w:val="none"/>
              </w:rPr>
            </w:pPr>
            <w:r>
              <w:rPr>
                <w:rFonts w:hint="default" w:ascii="Times New Roman" w:hAnsi="Times New Roman" w:eastAsia="宋体" w:cs="Times New Roman"/>
                <w:i w:val="0"/>
                <w:color w:val="000000"/>
                <w:kern w:val="0"/>
                <w:sz w:val="22"/>
                <w:szCs w:val="22"/>
                <w:highlight w:val="none"/>
                <w:u w:val="none"/>
                <w:lang w:val="en-US" w:eastAsia="zh-CN" w:bidi="ar"/>
              </w:rPr>
              <w:t>三、国防支出</w:t>
            </w:r>
          </w:p>
        </w:tc>
        <w:tc>
          <w:tcPr>
            <w:tcW w:w="1204" w:type="dxa"/>
            <w:gridSpan w:val="2"/>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rPr>
              <w:t>　</w:t>
            </w:r>
          </w:p>
        </w:tc>
      </w:tr>
      <w:tr>
        <w:tblPrEx>
          <w:tblCellMar>
            <w:top w:w="0" w:type="dxa"/>
            <w:left w:w="108" w:type="dxa"/>
            <w:bottom w:w="0" w:type="dxa"/>
            <w:right w:w="108" w:type="dxa"/>
          </w:tblCellMar>
        </w:tblPrEx>
        <w:trPr>
          <w:trHeight w:val="283" w:hRule="atLeast"/>
          <w:jc w:val="center"/>
        </w:trPr>
        <w:tc>
          <w:tcPr>
            <w:tcW w:w="3527"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lang w:eastAsia="zh-CN"/>
              </w:rPr>
              <w:t>四</w:t>
            </w:r>
            <w:r>
              <w:rPr>
                <w:rFonts w:hint="default" w:ascii="Times New Roman" w:hAnsi="Times New Roman" w:cs="Times New Roman"/>
                <w:color w:val="000000"/>
                <w:kern w:val="0"/>
                <w:sz w:val="22"/>
                <w:szCs w:val="22"/>
                <w:highlight w:val="none"/>
              </w:rPr>
              <w:t>、</w:t>
            </w:r>
            <w:r>
              <w:rPr>
                <w:rFonts w:hint="default" w:ascii="Times New Roman" w:hAnsi="Times New Roman" w:cs="Times New Roman"/>
                <w:color w:val="000000"/>
                <w:kern w:val="0"/>
                <w:sz w:val="22"/>
                <w:szCs w:val="22"/>
                <w:highlight w:val="none"/>
                <w:lang w:eastAsia="zh-CN"/>
              </w:rPr>
              <w:t>事业</w:t>
            </w:r>
            <w:r>
              <w:rPr>
                <w:rFonts w:hint="default" w:ascii="Times New Roman" w:hAnsi="Times New Roman" w:cs="Times New Roman"/>
                <w:color w:val="000000"/>
                <w:kern w:val="0"/>
                <w:sz w:val="22"/>
                <w:szCs w:val="22"/>
                <w:highlight w:val="none"/>
              </w:rPr>
              <w:t>收入</w:t>
            </w:r>
          </w:p>
        </w:tc>
        <w:tc>
          <w:tcPr>
            <w:tcW w:w="92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rPr>
              <w:t>　</w:t>
            </w:r>
          </w:p>
        </w:tc>
        <w:tc>
          <w:tcPr>
            <w:tcW w:w="328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highlight w:val="none"/>
              </w:rPr>
            </w:pPr>
            <w:r>
              <w:rPr>
                <w:rFonts w:hint="default" w:ascii="Times New Roman" w:hAnsi="Times New Roman" w:eastAsia="宋体" w:cs="Times New Roman"/>
                <w:i w:val="0"/>
                <w:color w:val="000000"/>
                <w:kern w:val="0"/>
                <w:sz w:val="22"/>
                <w:szCs w:val="22"/>
                <w:highlight w:val="none"/>
                <w:u w:val="none"/>
                <w:lang w:val="en-US" w:eastAsia="zh-CN" w:bidi="ar"/>
              </w:rPr>
              <w:t>四、公共安全支出</w:t>
            </w:r>
          </w:p>
        </w:tc>
        <w:tc>
          <w:tcPr>
            <w:tcW w:w="1204" w:type="dxa"/>
            <w:gridSpan w:val="2"/>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rPr>
              <w:t>　</w:t>
            </w:r>
          </w:p>
        </w:tc>
      </w:tr>
      <w:tr>
        <w:tblPrEx>
          <w:tblCellMar>
            <w:top w:w="0" w:type="dxa"/>
            <w:left w:w="108" w:type="dxa"/>
            <w:bottom w:w="0" w:type="dxa"/>
            <w:right w:w="108" w:type="dxa"/>
          </w:tblCellMar>
        </w:tblPrEx>
        <w:trPr>
          <w:trHeight w:val="283" w:hRule="atLeast"/>
          <w:jc w:val="center"/>
        </w:trPr>
        <w:tc>
          <w:tcPr>
            <w:tcW w:w="3527"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lang w:eastAsia="zh-CN"/>
              </w:rPr>
              <w:t>五</w:t>
            </w:r>
            <w:r>
              <w:rPr>
                <w:rFonts w:hint="default" w:ascii="Times New Roman" w:hAnsi="Times New Roman" w:cs="Times New Roman"/>
                <w:color w:val="000000"/>
                <w:kern w:val="0"/>
                <w:sz w:val="22"/>
                <w:szCs w:val="22"/>
                <w:highlight w:val="none"/>
              </w:rPr>
              <w:t>、</w:t>
            </w:r>
            <w:r>
              <w:rPr>
                <w:rFonts w:hint="default" w:ascii="Times New Roman" w:hAnsi="Times New Roman" w:cs="Times New Roman"/>
                <w:color w:val="000000"/>
                <w:kern w:val="0"/>
                <w:sz w:val="22"/>
                <w:szCs w:val="22"/>
                <w:highlight w:val="none"/>
                <w:lang w:eastAsia="zh-CN"/>
              </w:rPr>
              <w:t>经营</w:t>
            </w:r>
            <w:r>
              <w:rPr>
                <w:rFonts w:hint="default" w:ascii="Times New Roman" w:hAnsi="Times New Roman" w:cs="Times New Roman"/>
                <w:color w:val="000000"/>
                <w:kern w:val="0"/>
                <w:sz w:val="22"/>
                <w:szCs w:val="22"/>
                <w:highlight w:val="none"/>
              </w:rPr>
              <w:t>收入</w:t>
            </w:r>
          </w:p>
        </w:tc>
        <w:tc>
          <w:tcPr>
            <w:tcW w:w="92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rPr>
              <w:t>　</w:t>
            </w:r>
          </w:p>
        </w:tc>
        <w:tc>
          <w:tcPr>
            <w:tcW w:w="328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highlight w:val="none"/>
              </w:rPr>
            </w:pPr>
            <w:r>
              <w:rPr>
                <w:rFonts w:hint="default" w:ascii="Times New Roman" w:hAnsi="Times New Roman" w:eastAsia="宋体" w:cs="Times New Roman"/>
                <w:i w:val="0"/>
                <w:color w:val="000000"/>
                <w:kern w:val="0"/>
                <w:sz w:val="22"/>
                <w:szCs w:val="22"/>
                <w:highlight w:val="none"/>
                <w:u w:val="none"/>
                <w:lang w:val="en-US" w:eastAsia="zh-CN" w:bidi="ar"/>
              </w:rPr>
              <w:t>五、教育支出</w:t>
            </w:r>
          </w:p>
        </w:tc>
        <w:tc>
          <w:tcPr>
            <w:tcW w:w="1204" w:type="dxa"/>
            <w:gridSpan w:val="2"/>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rPr>
              <w:t>　</w:t>
            </w:r>
          </w:p>
        </w:tc>
      </w:tr>
      <w:tr>
        <w:tblPrEx>
          <w:tblCellMar>
            <w:top w:w="0" w:type="dxa"/>
            <w:left w:w="108" w:type="dxa"/>
            <w:bottom w:w="0" w:type="dxa"/>
            <w:right w:w="108" w:type="dxa"/>
          </w:tblCellMar>
        </w:tblPrEx>
        <w:trPr>
          <w:trHeight w:val="283" w:hRule="atLeast"/>
          <w:jc w:val="center"/>
        </w:trPr>
        <w:tc>
          <w:tcPr>
            <w:tcW w:w="3527"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2"/>
                <w:szCs w:val="22"/>
                <w:highlight w:val="none"/>
                <w:lang w:eastAsia="zh-CN"/>
              </w:rPr>
            </w:pPr>
            <w:r>
              <w:rPr>
                <w:rFonts w:hint="default" w:ascii="Times New Roman" w:hAnsi="Times New Roman" w:cs="Times New Roman"/>
                <w:color w:val="000000"/>
                <w:kern w:val="0"/>
                <w:sz w:val="22"/>
                <w:szCs w:val="22"/>
                <w:highlight w:val="none"/>
                <w:lang w:eastAsia="zh-CN"/>
              </w:rPr>
              <w:t>六、附属单位上缴收入</w:t>
            </w:r>
          </w:p>
        </w:tc>
        <w:tc>
          <w:tcPr>
            <w:tcW w:w="92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rPr>
              <w:t>　</w:t>
            </w:r>
          </w:p>
        </w:tc>
        <w:tc>
          <w:tcPr>
            <w:tcW w:w="328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highlight w:val="none"/>
              </w:rPr>
            </w:pPr>
            <w:r>
              <w:rPr>
                <w:rFonts w:hint="default" w:ascii="Times New Roman" w:hAnsi="Times New Roman" w:eastAsia="宋体" w:cs="Times New Roman"/>
                <w:i w:val="0"/>
                <w:color w:val="000000"/>
                <w:kern w:val="0"/>
                <w:sz w:val="22"/>
                <w:szCs w:val="22"/>
                <w:highlight w:val="none"/>
                <w:u w:val="none"/>
                <w:lang w:val="en-US" w:eastAsia="zh-CN" w:bidi="ar"/>
              </w:rPr>
              <w:t>六、科学技术支出</w:t>
            </w:r>
          </w:p>
        </w:tc>
        <w:tc>
          <w:tcPr>
            <w:tcW w:w="1204" w:type="dxa"/>
            <w:gridSpan w:val="2"/>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rPr>
              <w:t>　</w:t>
            </w:r>
          </w:p>
        </w:tc>
      </w:tr>
      <w:tr>
        <w:tblPrEx>
          <w:tblCellMar>
            <w:top w:w="0" w:type="dxa"/>
            <w:left w:w="108" w:type="dxa"/>
            <w:bottom w:w="0" w:type="dxa"/>
            <w:right w:w="108" w:type="dxa"/>
          </w:tblCellMar>
        </w:tblPrEx>
        <w:trPr>
          <w:trHeight w:val="283" w:hRule="atLeast"/>
          <w:jc w:val="center"/>
        </w:trPr>
        <w:tc>
          <w:tcPr>
            <w:tcW w:w="3527"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lang w:eastAsia="zh-CN"/>
              </w:rPr>
              <w:t>七</w:t>
            </w:r>
            <w:r>
              <w:rPr>
                <w:rFonts w:hint="default" w:ascii="Times New Roman" w:hAnsi="Times New Roman" w:cs="Times New Roman"/>
                <w:color w:val="000000"/>
                <w:kern w:val="0"/>
                <w:sz w:val="22"/>
                <w:szCs w:val="22"/>
                <w:highlight w:val="none"/>
              </w:rPr>
              <w:t>、其他收入</w:t>
            </w:r>
          </w:p>
        </w:tc>
        <w:tc>
          <w:tcPr>
            <w:tcW w:w="92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rPr>
              <w:t>　</w:t>
            </w:r>
          </w:p>
        </w:tc>
        <w:tc>
          <w:tcPr>
            <w:tcW w:w="328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highlight w:val="none"/>
              </w:rPr>
            </w:pPr>
            <w:r>
              <w:rPr>
                <w:rFonts w:hint="default" w:ascii="Times New Roman" w:hAnsi="Times New Roman" w:eastAsia="宋体" w:cs="Times New Roman"/>
                <w:i w:val="0"/>
                <w:color w:val="000000"/>
                <w:kern w:val="0"/>
                <w:sz w:val="22"/>
                <w:szCs w:val="22"/>
                <w:highlight w:val="none"/>
                <w:u w:val="none"/>
                <w:lang w:val="en-US" w:eastAsia="zh-CN" w:bidi="ar"/>
              </w:rPr>
              <w:t>七、文化旅游体育与传媒支出</w:t>
            </w:r>
          </w:p>
        </w:tc>
        <w:tc>
          <w:tcPr>
            <w:tcW w:w="1204"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highlight w:val="none"/>
              </w:rPr>
            </w:pPr>
          </w:p>
        </w:tc>
      </w:tr>
      <w:tr>
        <w:tblPrEx>
          <w:tblCellMar>
            <w:top w:w="0" w:type="dxa"/>
            <w:left w:w="108" w:type="dxa"/>
            <w:bottom w:w="0" w:type="dxa"/>
            <w:right w:w="108" w:type="dxa"/>
          </w:tblCellMar>
        </w:tblPrEx>
        <w:trPr>
          <w:trHeight w:val="283" w:hRule="atLeast"/>
          <w:jc w:val="center"/>
        </w:trPr>
        <w:tc>
          <w:tcPr>
            <w:tcW w:w="3527"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rPr>
              <w:t>　</w:t>
            </w:r>
          </w:p>
        </w:tc>
        <w:tc>
          <w:tcPr>
            <w:tcW w:w="92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highlight w:val="none"/>
              </w:rPr>
            </w:pPr>
            <w:r>
              <w:rPr>
                <w:rFonts w:hint="default" w:ascii="Times New Roman" w:hAnsi="Times New Roman" w:cs="Times New Roman"/>
                <w:color w:val="000000"/>
                <w:kern w:val="0"/>
                <w:sz w:val="22"/>
                <w:szCs w:val="22"/>
                <w:highlight w:val="none"/>
              </w:rPr>
              <w:t>　</w:t>
            </w:r>
          </w:p>
        </w:tc>
        <w:tc>
          <w:tcPr>
            <w:tcW w:w="328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highlight w:val="none"/>
              </w:rPr>
            </w:pPr>
            <w:r>
              <w:rPr>
                <w:rFonts w:hint="default" w:ascii="Times New Roman" w:hAnsi="Times New Roman" w:eastAsia="宋体" w:cs="Times New Roman"/>
                <w:i w:val="0"/>
                <w:color w:val="000000"/>
                <w:kern w:val="0"/>
                <w:sz w:val="22"/>
                <w:szCs w:val="22"/>
                <w:highlight w:val="none"/>
                <w:u w:val="none"/>
                <w:lang w:val="en-US" w:eastAsia="zh-CN" w:bidi="ar"/>
              </w:rPr>
              <w:t>八、社会保障和就业支出</w:t>
            </w:r>
          </w:p>
        </w:tc>
        <w:tc>
          <w:tcPr>
            <w:tcW w:w="1204"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2"/>
                <w:szCs w:val="22"/>
                <w:highlight w:val="none"/>
                <w:lang w:val="en-US" w:eastAsia="zh-CN"/>
              </w:rPr>
            </w:pPr>
            <w:r>
              <w:rPr>
                <w:rFonts w:hint="default" w:ascii="Times New Roman" w:hAnsi="Times New Roman" w:cs="Times New Roman"/>
                <w:color w:val="000000"/>
                <w:kern w:val="0"/>
                <w:sz w:val="22"/>
                <w:szCs w:val="22"/>
                <w:highlight w:val="none"/>
                <w:lang w:val="en-US" w:eastAsia="zh-CN"/>
              </w:rPr>
              <w:t>4.77</w:t>
            </w:r>
          </w:p>
        </w:tc>
      </w:tr>
      <w:tr>
        <w:tblPrEx>
          <w:tblCellMar>
            <w:top w:w="0" w:type="dxa"/>
            <w:left w:w="108" w:type="dxa"/>
            <w:bottom w:w="0" w:type="dxa"/>
            <w:right w:w="108" w:type="dxa"/>
          </w:tblCellMar>
        </w:tblPrEx>
        <w:trPr>
          <w:trHeight w:val="283" w:hRule="atLeast"/>
          <w:jc w:val="center"/>
        </w:trPr>
        <w:tc>
          <w:tcPr>
            <w:tcW w:w="3527"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highlight w:val="none"/>
              </w:rPr>
            </w:pPr>
          </w:p>
        </w:tc>
        <w:tc>
          <w:tcPr>
            <w:tcW w:w="328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highlight w:val="none"/>
              </w:rPr>
            </w:pPr>
            <w:r>
              <w:rPr>
                <w:rFonts w:hint="default" w:ascii="Times New Roman" w:hAnsi="Times New Roman" w:eastAsia="宋体" w:cs="Times New Roman"/>
                <w:i w:val="0"/>
                <w:color w:val="000000"/>
                <w:kern w:val="0"/>
                <w:sz w:val="22"/>
                <w:szCs w:val="22"/>
                <w:highlight w:val="none"/>
                <w:u w:val="none"/>
                <w:lang w:val="en-US" w:eastAsia="zh-CN" w:bidi="ar"/>
              </w:rPr>
              <w:t>九、卫生健康支出</w:t>
            </w:r>
          </w:p>
        </w:tc>
        <w:tc>
          <w:tcPr>
            <w:tcW w:w="1204"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2"/>
                <w:szCs w:val="22"/>
                <w:highlight w:val="none"/>
                <w:lang w:val="en-US" w:eastAsia="zh-CN"/>
              </w:rPr>
            </w:pPr>
            <w:r>
              <w:rPr>
                <w:rFonts w:hint="default" w:ascii="Times New Roman" w:hAnsi="Times New Roman" w:cs="Times New Roman"/>
                <w:color w:val="000000"/>
                <w:kern w:val="0"/>
                <w:sz w:val="22"/>
                <w:szCs w:val="22"/>
                <w:highlight w:val="none"/>
                <w:lang w:val="en-US" w:eastAsia="zh-CN"/>
              </w:rPr>
              <w:t>1.23</w:t>
            </w:r>
          </w:p>
        </w:tc>
      </w:tr>
      <w:tr>
        <w:tblPrEx>
          <w:tblCellMar>
            <w:top w:w="0" w:type="dxa"/>
            <w:left w:w="108" w:type="dxa"/>
            <w:bottom w:w="0" w:type="dxa"/>
            <w:right w:w="108" w:type="dxa"/>
          </w:tblCellMar>
        </w:tblPrEx>
        <w:trPr>
          <w:trHeight w:val="283" w:hRule="atLeast"/>
          <w:jc w:val="center"/>
        </w:trPr>
        <w:tc>
          <w:tcPr>
            <w:tcW w:w="3527"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highlight w:val="none"/>
              </w:rPr>
            </w:pPr>
          </w:p>
        </w:tc>
        <w:tc>
          <w:tcPr>
            <w:tcW w:w="328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十、节能环保支出</w:t>
            </w:r>
          </w:p>
        </w:tc>
        <w:tc>
          <w:tcPr>
            <w:tcW w:w="1204"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highlight w:val="none"/>
              </w:rPr>
            </w:pPr>
          </w:p>
        </w:tc>
      </w:tr>
      <w:tr>
        <w:tblPrEx>
          <w:tblCellMar>
            <w:top w:w="0" w:type="dxa"/>
            <w:left w:w="108" w:type="dxa"/>
            <w:bottom w:w="0" w:type="dxa"/>
            <w:right w:w="108" w:type="dxa"/>
          </w:tblCellMar>
        </w:tblPrEx>
        <w:trPr>
          <w:trHeight w:val="283" w:hRule="atLeast"/>
          <w:jc w:val="center"/>
        </w:trPr>
        <w:tc>
          <w:tcPr>
            <w:tcW w:w="3527"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highlight w:val="none"/>
              </w:rPr>
            </w:pPr>
          </w:p>
        </w:tc>
        <w:tc>
          <w:tcPr>
            <w:tcW w:w="328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highlight w:val="none"/>
              </w:rPr>
            </w:pPr>
            <w:r>
              <w:rPr>
                <w:rFonts w:hint="default" w:ascii="Times New Roman" w:hAnsi="Times New Roman" w:eastAsia="宋体" w:cs="Times New Roman"/>
                <w:i w:val="0"/>
                <w:color w:val="000000"/>
                <w:kern w:val="0"/>
                <w:sz w:val="22"/>
                <w:szCs w:val="22"/>
                <w:highlight w:val="none"/>
                <w:u w:val="none"/>
                <w:lang w:val="en-US" w:eastAsia="zh-CN" w:bidi="ar"/>
              </w:rPr>
              <w:t>十一、城乡社区支出</w:t>
            </w:r>
          </w:p>
        </w:tc>
        <w:tc>
          <w:tcPr>
            <w:tcW w:w="1204"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highlight w:val="none"/>
              </w:rPr>
            </w:pPr>
          </w:p>
        </w:tc>
      </w:tr>
      <w:tr>
        <w:tblPrEx>
          <w:tblCellMar>
            <w:top w:w="0" w:type="dxa"/>
            <w:left w:w="108" w:type="dxa"/>
            <w:bottom w:w="0" w:type="dxa"/>
            <w:right w:w="108" w:type="dxa"/>
          </w:tblCellMar>
        </w:tblPrEx>
        <w:trPr>
          <w:trHeight w:val="283" w:hRule="atLeast"/>
          <w:jc w:val="center"/>
        </w:trPr>
        <w:tc>
          <w:tcPr>
            <w:tcW w:w="3527"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color w:val="000000"/>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b/>
                <w:color w:val="000000"/>
                <w:kern w:val="0"/>
                <w:sz w:val="22"/>
                <w:szCs w:val="22"/>
                <w:highlight w:val="none"/>
              </w:rPr>
            </w:pPr>
          </w:p>
        </w:tc>
        <w:tc>
          <w:tcPr>
            <w:tcW w:w="328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b/>
                <w:color w:val="000000"/>
                <w:kern w:val="0"/>
                <w:sz w:val="22"/>
                <w:szCs w:val="22"/>
                <w:highlight w:val="none"/>
              </w:rPr>
            </w:pPr>
            <w:r>
              <w:rPr>
                <w:rFonts w:hint="default" w:ascii="Times New Roman" w:hAnsi="Times New Roman" w:eastAsia="宋体" w:cs="Times New Roman"/>
                <w:i w:val="0"/>
                <w:color w:val="000000"/>
                <w:kern w:val="0"/>
                <w:sz w:val="22"/>
                <w:szCs w:val="22"/>
                <w:highlight w:val="none"/>
                <w:u w:val="none"/>
                <w:lang w:val="en-US" w:eastAsia="zh-CN" w:bidi="ar"/>
              </w:rPr>
              <w:t>十二、农林水支出</w:t>
            </w:r>
          </w:p>
        </w:tc>
        <w:tc>
          <w:tcPr>
            <w:tcW w:w="1204"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b/>
                <w:color w:val="000000"/>
                <w:kern w:val="0"/>
                <w:sz w:val="22"/>
                <w:szCs w:val="22"/>
                <w:highlight w:val="none"/>
              </w:rPr>
            </w:pPr>
          </w:p>
        </w:tc>
      </w:tr>
      <w:tr>
        <w:tblPrEx>
          <w:tblCellMar>
            <w:top w:w="0" w:type="dxa"/>
            <w:left w:w="108" w:type="dxa"/>
            <w:bottom w:w="0" w:type="dxa"/>
            <w:right w:w="108" w:type="dxa"/>
          </w:tblCellMar>
        </w:tblPrEx>
        <w:trPr>
          <w:trHeight w:val="283" w:hRule="atLeast"/>
          <w:jc w:val="center"/>
        </w:trPr>
        <w:tc>
          <w:tcPr>
            <w:tcW w:w="3527"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color w:val="000000"/>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b/>
                <w:color w:val="000000"/>
                <w:kern w:val="0"/>
                <w:sz w:val="22"/>
                <w:szCs w:val="22"/>
                <w:highlight w:val="none"/>
              </w:rPr>
            </w:pPr>
          </w:p>
        </w:tc>
        <w:tc>
          <w:tcPr>
            <w:tcW w:w="328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b/>
                <w:color w:val="000000"/>
                <w:kern w:val="0"/>
                <w:sz w:val="22"/>
                <w:szCs w:val="22"/>
                <w:highlight w:val="none"/>
              </w:rPr>
            </w:pPr>
            <w:r>
              <w:rPr>
                <w:rFonts w:hint="default" w:ascii="Times New Roman" w:hAnsi="Times New Roman" w:eastAsia="宋体" w:cs="Times New Roman"/>
                <w:i w:val="0"/>
                <w:color w:val="000000"/>
                <w:kern w:val="0"/>
                <w:sz w:val="22"/>
                <w:szCs w:val="22"/>
                <w:highlight w:val="none"/>
                <w:u w:val="none"/>
                <w:lang w:val="en-US" w:eastAsia="zh-CN" w:bidi="ar"/>
              </w:rPr>
              <w:t>十三、交通运输支出</w:t>
            </w:r>
          </w:p>
        </w:tc>
        <w:tc>
          <w:tcPr>
            <w:tcW w:w="1204"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b/>
                <w:color w:val="000000"/>
                <w:kern w:val="0"/>
                <w:sz w:val="22"/>
                <w:szCs w:val="22"/>
                <w:highlight w:val="none"/>
              </w:rPr>
            </w:pPr>
          </w:p>
        </w:tc>
      </w:tr>
      <w:tr>
        <w:tblPrEx>
          <w:tblCellMar>
            <w:top w:w="0" w:type="dxa"/>
            <w:left w:w="108" w:type="dxa"/>
            <w:bottom w:w="0" w:type="dxa"/>
            <w:right w:w="108" w:type="dxa"/>
          </w:tblCellMar>
        </w:tblPrEx>
        <w:trPr>
          <w:trHeight w:val="283" w:hRule="atLeast"/>
          <w:jc w:val="center"/>
        </w:trPr>
        <w:tc>
          <w:tcPr>
            <w:tcW w:w="3527"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highlight w:val="none"/>
              </w:rPr>
            </w:pPr>
          </w:p>
        </w:tc>
        <w:tc>
          <w:tcPr>
            <w:tcW w:w="328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highlight w:val="none"/>
              </w:rPr>
            </w:pPr>
            <w:r>
              <w:rPr>
                <w:rFonts w:hint="default" w:ascii="Times New Roman" w:hAnsi="Times New Roman" w:eastAsia="宋体" w:cs="Times New Roman"/>
                <w:i w:val="0"/>
                <w:color w:val="000000"/>
                <w:kern w:val="0"/>
                <w:sz w:val="22"/>
                <w:szCs w:val="22"/>
                <w:highlight w:val="none"/>
                <w:u w:val="none"/>
                <w:lang w:val="en-US" w:eastAsia="zh-CN" w:bidi="ar"/>
              </w:rPr>
              <w:t>十四、资源勘探信息等支出</w:t>
            </w:r>
          </w:p>
        </w:tc>
        <w:tc>
          <w:tcPr>
            <w:tcW w:w="1204"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highlight w:val="none"/>
              </w:rPr>
            </w:pPr>
          </w:p>
        </w:tc>
      </w:tr>
      <w:tr>
        <w:tblPrEx>
          <w:tblCellMar>
            <w:top w:w="0" w:type="dxa"/>
            <w:left w:w="108" w:type="dxa"/>
            <w:bottom w:w="0" w:type="dxa"/>
            <w:right w:w="108" w:type="dxa"/>
          </w:tblCellMar>
        </w:tblPrEx>
        <w:trPr>
          <w:trHeight w:val="283" w:hRule="atLeast"/>
          <w:jc w:val="center"/>
        </w:trPr>
        <w:tc>
          <w:tcPr>
            <w:tcW w:w="3527"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2"/>
                <w:szCs w:val="22"/>
                <w:highlight w:val="none"/>
                <w:lang w:eastAsia="zh-CN"/>
              </w:rPr>
            </w:pPr>
          </w:p>
        </w:tc>
        <w:tc>
          <w:tcPr>
            <w:tcW w:w="920"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highlight w:val="none"/>
              </w:rPr>
            </w:pPr>
          </w:p>
        </w:tc>
        <w:tc>
          <w:tcPr>
            <w:tcW w:w="328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highlight w:val="none"/>
              </w:rPr>
            </w:pPr>
            <w:r>
              <w:rPr>
                <w:rFonts w:hint="default" w:ascii="Times New Roman" w:hAnsi="Times New Roman" w:eastAsia="宋体" w:cs="Times New Roman"/>
                <w:i w:val="0"/>
                <w:color w:val="000000"/>
                <w:kern w:val="0"/>
                <w:sz w:val="22"/>
                <w:szCs w:val="22"/>
                <w:highlight w:val="none"/>
                <w:u w:val="none"/>
                <w:lang w:val="en-US" w:eastAsia="zh-CN" w:bidi="ar"/>
              </w:rPr>
              <w:t>十五、商业服务业等支出</w:t>
            </w:r>
          </w:p>
        </w:tc>
        <w:tc>
          <w:tcPr>
            <w:tcW w:w="1204"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highlight w:val="none"/>
              </w:rPr>
            </w:pPr>
          </w:p>
        </w:tc>
      </w:tr>
      <w:tr>
        <w:tblPrEx>
          <w:tblCellMar>
            <w:top w:w="0" w:type="dxa"/>
            <w:left w:w="108" w:type="dxa"/>
            <w:bottom w:w="0" w:type="dxa"/>
            <w:right w:w="108" w:type="dxa"/>
          </w:tblCellMar>
        </w:tblPrEx>
        <w:trPr>
          <w:trHeight w:val="283" w:hRule="atLeast"/>
          <w:jc w:val="center"/>
        </w:trPr>
        <w:tc>
          <w:tcPr>
            <w:tcW w:w="3527"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b/>
                <w:color w:val="000000"/>
                <w:kern w:val="0"/>
                <w:sz w:val="22"/>
                <w:szCs w:val="22"/>
                <w:highlight w:val="none"/>
                <w:lang w:val="en-US" w:eastAsia="zh-CN" w:bidi="ar-SA"/>
              </w:rPr>
            </w:pPr>
          </w:p>
        </w:tc>
        <w:tc>
          <w:tcPr>
            <w:tcW w:w="92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color w:val="000000"/>
                <w:kern w:val="0"/>
                <w:sz w:val="22"/>
                <w:szCs w:val="22"/>
                <w:highlight w:val="none"/>
                <w:lang w:val="en-US" w:eastAsia="zh-CN" w:bidi="ar-SA"/>
              </w:rPr>
            </w:pPr>
          </w:p>
        </w:tc>
        <w:tc>
          <w:tcPr>
            <w:tcW w:w="328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color w:val="000000"/>
                <w:kern w:val="0"/>
                <w:sz w:val="22"/>
                <w:szCs w:val="22"/>
                <w:highlight w:val="none"/>
                <w:lang w:val="en-US" w:eastAsia="zh-CN" w:bidi="ar-SA"/>
              </w:rPr>
            </w:pPr>
            <w:r>
              <w:rPr>
                <w:rFonts w:hint="default" w:ascii="Times New Roman" w:hAnsi="Times New Roman" w:eastAsia="宋体" w:cs="Times New Roman"/>
                <w:i w:val="0"/>
                <w:color w:val="000000"/>
                <w:kern w:val="0"/>
                <w:sz w:val="22"/>
                <w:szCs w:val="22"/>
                <w:highlight w:val="none"/>
                <w:u w:val="none"/>
                <w:lang w:val="en-US" w:eastAsia="zh-CN" w:bidi="ar"/>
              </w:rPr>
              <w:t>十六、金融支出</w:t>
            </w:r>
          </w:p>
        </w:tc>
        <w:tc>
          <w:tcPr>
            <w:tcW w:w="1204"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b/>
                <w:color w:val="000000"/>
                <w:kern w:val="0"/>
                <w:sz w:val="22"/>
                <w:szCs w:val="22"/>
                <w:highlight w:val="none"/>
                <w:lang w:val="en-US" w:eastAsia="zh-CN" w:bidi="ar-SA"/>
              </w:rPr>
            </w:pPr>
          </w:p>
        </w:tc>
      </w:tr>
      <w:tr>
        <w:tblPrEx>
          <w:tblCellMar>
            <w:top w:w="0" w:type="dxa"/>
            <w:left w:w="108" w:type="dxa"/>
            <w:bottom w:w="0" w:type="dxa"/>
            <w:right w:w="108" w:type="dxa"/>
          </w:tblCellMar>
        </w:tblPrEx>
        <w:trPr>
          <w:trHeight w:val="283" w:hRule="atLeast"/>
          <w:jc w:val="center"/>
        </w:trPr>
        <w:tc>
          <w:tcPr>
            <w:tcW w:w="35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b/>
                <w:color w:val="000000"/>
                <w:kern w:val="0"/>
                <w:sz w:val="22"/>
                <w:szCs w:val="22"/>
                <w:highlight w:val="none"/>
                <w:lang w:val="en-US" w:eastAsia="zh-CN" w:bidi="ar-SA"/>
              </w:rPr>
            </w:pPr>
          </w:p>
        </w:tc>
        <w:tc>
          <w:tcPr>
            <w:tcW w:w="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b/>
                <w:color w:val="000000"/>
                <w:kern w:val="0"/>
                <w:sz w:val="22"/>
                <w:szCs w:val="22"/>
                <w:highlight w:val="none"/>
                <w:lang w:val="en-US" w:eastAsia="zh-CN" w:bidi="ar-SA"/>
              </w:rPr>
            </w:pPr>
          </w:p>
        </w:tc>
        <w:tc>
          <w:tcPr>
            <w:tcW w:w="328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color w:val="000000"/>
                <w:kern w:val="0"/>
                <w:sz w:val="22"/>
                <w:szCs w:val="22"/>
                <w:highlight w:val="none"/>
                <w:lang w:val="en-US" w:eastAsia="zh-CN" w:bidi="ar-SA"/>
              </w:rPr>
            </w:pPr>
            <w:r>
              <w:rPr>
                <w:rFonts w:hint="default" w:ascii="Times New Roman" w:hAnsi="Times New Roman" w:eastAsia="宋体" w:cs="Times New Roman"/>
                <w:i w:val="0"/>
                <w:color w:val="000000"/>
                <w:kern w:val="0"/>
                <w:sz w:val="22"/>
                <w:szCs w:val="22"/>
                <w:highlight w:val="none"/>
                <w:u w:val="none"/>
                <w:lang w:val="en-US" w:eastAsia="zh-CN" w:bidi="ar"/>
              </w:rPr>
              <w:t>十七、援助其他地区支出</w:t>
            </w:r>
          </w:p>
        </w:tc>
        <w:tc>
          <w:tcPr>
            <w:tcW w:w="120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b/>
                <w:color w:val="000000"/>
                <w:kern w:val="0"/>
                <w:sz w:val="22"/>
                <w:szCs w:val="22"/>
                <w:highlight w:val="none"/>
                <w:lang w:val="en-US" w:eastAsia="zh-CN" w:bidi="ar-SA"/>
              </w:rPr>
            </w:pPr>
          </w:p>
        </w:tc>
      </w:tr>
      <w:tr>
        <w:tblPrEx>
          <w:tblCellMar>
            <w:top w:w="0" w:type="dxa"/>
            <w:left w:w="108" w:type="dxa"/>
            <w:bottom w:w="0" w:type="dxa"/>
            <w:right w:w="108" w:type="dxa"/>
          </w:tblCellMar>
        </w:tblPrEx>
        <w:trPr>
          <w:trHeight w:val="283" w:hRule="atLeast"/>
          <w:jc w:val="center"/>
        </w:trPr>
        <w:tc>
          <w:tcPr>
            <w:tcW w:w="3527"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2"/>
                <w:szCs w:val="22"/>
                <w:highlight w:val="none"/>
                <w:lang w:val="en-US" w:eastAsia="zh-CN" w:bidi="ar-SA"/>
              </w:rPr>
            </w:pPr>
          </w:p>
        </w:tc>
        <w:tc>
          <w:tcPr>
            <w:tcW w:w="920"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2"/>
                <w:szCs w:val="22"/>
                <w:highlight w:val="none"/>
                <w:lang w:val="en-US" w:eastAsia="zh-CN" w:bidi="ar-SA"/>
              </w:rPr>
            </w:pPr>
          </w:p>
        </w:tc>
        <w:tc>
          <w:tcPr>
            <w:tcW w:w="328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color w:val="000000"/>
                <w:kern w:val="0"/>
                <w:sz w:val="22"/>
                <w:szCs w:val="22"/>
                <w:highlight w:val="none"/>
                <w:lang w:val="en-US" w:eastAsia="zh-CN" w:bidi="ar-SA"/>
              </w:rPr>
            </w:pPr>
            <w:r>
              <w:rPr>
                <w:rFonts w:hint="default" w:ascii="Times New Roman" w:hAnsi="Times New Roman" w:eastAsia="宋体" w:cs="Times New Roman"/>
                <w:i w:val="0"/>
                <w:color w:val="000000"/>
                <w:kern w:val="0"/>
                <w:sz w:val="22"/>
                <w:szCs w:val="22"/>
                <w:highlight w:val="none"/>
                <w:u w:val="none"/>
                <w:lang w:val="en-US" w:eastAsia="zh-CN" w:bidi="ar"/>
              </w:rPr>
              <w:t>十八、自然资源海洋气象等支出</w:t>
            </w:r>
          </w:p>
        </w:tc>
        <w:tc>
          <w:tcPr>
            <w:tcW w:w="120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2"/>
                <w:szCs w:val="22"/>
                <w:highlight w:val="none"/>
                <w:lang w:val="en-US" w:eastAsia="zh-CN" w:bidi="ar-SA"/>
              </w:rPr>
            </w:pPr>
          </w:p>
        </w:tc>
      </w:tr>
      <w:tr>
        <w:tblPrEx>
          <w:tblCellMar>
            <w:top w:w="0" w:type="dxa"/>
            <w:left w:w="108" w:type="dxa"/>
            <w:bottom w:w="0" w:type="dxa"/>
            <w:right w:w="108" w:type="dxa"/>
          </w:tblCellMar>
        </w:tblPrEx>
        <w:trPr>
          <w:trHeight w:val="283" w:hRule="atLeast"/>
          <w:jc w:val="center"/>
        </w:trPr>
        <w:tc>
          <w:tcPr>
            <w:tcW w:w="3527"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2"/>
                <w:szCs w:val="22"/>
                <w:highlight w:val="none"/>
                <w:lang w:val="en-US" w:eastAsia="zh-CN" w:bidi="ar-SA"/>
              </w:rPr>
            </w:pPr>
          </w:p>
        </w:tc>
        <w:tc>
          <w:tcPr>
            <w:tcW w:w="920"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2"/>
                <w:szCs w:val="22"/>
                <w:highlight w:val="none"/>
                <w:lang w:val="en-US" w:eastAsia="zh-CN" w:bidi="ar-SA"/>
              </w:rPr>
            </w:pPr>
          </w:p>
        </w:tc>
        <w:tc>
          <w:tcPr>
            <w:tcW w:w="328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color w:val="000000"/>
                <w:kern w:val="0"/>
                <w:sz w:val="22"/>
                <w:szCs w:val="22"/>
                <w:highlight w:val="none"/>
                <w:lang w:val="en-US" w:eastAsia="zh-CN" w:bidi="ar-SA"/>
              </w:rPr>
            </w:pPr>
            <w:r>
              <w:rPr>
                <w:rFonts w:hint="default" w:ascii="Times New Roman" w:hAnsi="Times New Roman" w:eastAsia="宋体" w:cs="Times New Roman"/>
                <w:i w:val="0"/>
                <w:color w:val="000000"/>
                <w:kern w:val="0"/>
                <w:sz w:val="22"/>
                <w:szCs w:val="22"/>
                <w:highlight w:val="none"/>
                <w:u w:val="none"/>
                <w:lang w:val="en-US" w:eastAsia="zh-CN" w:bidi="ar"/>
              </w:rPr>
              <w:t>十九、住房保障支出</w:t>
            </w:r>
          </w:p>
        </w:tc>
        <w:tc>
          <w:tcPr>
            <w:tcW w:w="120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2"/>
                <w:szCs w:val="22"/>
                <w:highlight w:val="none"/>
                <w:lang w:val="en-US" w:eastAsia="zh-CN" w:bidi="ar-SA"/>
              </w:rPr>
            </w:pPr>
            <w:r>
              <w:rPr>
                <w:rFonts w:hint="default" w:ascii="Times New Roman" w:hAnsi="Times New Roman" w:cs="Times New Roman"/>
                <w:color w:val="000000"/>
                <w:kern w:val="0"/>
                <w:sz w:val="22"/>
                <w:szCs w:val="22"/>
                <w:highlight w:val="none"/>
                <w:lang w:val="en-US" w:eastAsia="zh-CN" w:bidi="ar-SA"/>
              </w:rPr>
              <w:t>3.00</w:t>
            </w:r>
          </w:p>
        </w:tc>
      </w:tr>
      <w:tr>
        <w:tblPrEx>
          <w:tblCellMar>
            <w:top w:w="0" w:type="dxa"/>
            <w:left w:w="108" w:type="dxa"/>
            <w:bottom w:w="0" w:type="dxa"/>
            <w:right w:w="108" w:type="dxa"/>
          </w:tblCellMar>
        </w:tblPrEx>
        <w:trPr>
          <w:trHeight w:val="283" w:hRule="atLeast"/>
          <w:jc w:val="center"/>
        </w:trPr>
        <w:tc>
          <w:tcPr>
            <w:tcW w:w="35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b/>
                <w:color w:val="000000"/>
                <w:kern w:val="0"/>
                <w:sz w:val="22"/>
                <w:szCs w:val="22"/>
                <w:highlight w:val="none"/>
                <w:lang w:val="en-US" w:eastAsia="zh-CN" w:bidi="ar-SA"/>
              </w:rPr>
            </w:pPr>
          </w:p>
        </w:tc>
        <w:tc>
          <w:tcPr>
            <w:tcW w:w="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b/>
                <w:color w:val="000000"/>
                <w:kern w:val="0"/>
                <w:sz w:val="22"/>
                <w:szCs w:val="22"/>
                <w:highlight w:val="none"/>
                <w:lang w:val="en-US" w:eastAsia="zh-CN" w:bidi="ar-SA"/>
              </w:rPr>
            </w:pPr>
          </w:p>
        </w:tc>
        <w:tc>
          <w:tcPr>
            <w:tcW w:w="328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color w:val="000000"/>
                <w:kern w:val="0"/>
                <w:sz w:val="22"/>
                <w:szCs w:val="22"/>
                <w:highlight w:val="none"/>
                <w:lang w:val="en-US" w:eastAsia="zh-CN" w:bidi="ar-SA"/>
              </w:rPr>
            </w:pPr>
            <w:r>
              <w:rPr>
                <w:rFonts w:hint="default" w:ascii="Times New Roman" w:hAnsi="Times New Roman" w:eastAsia="宋体" w:cs="Times New Roman"/>
                <w:i w:val="0"/>
                <w:color w:val="000000"/>
                <w:kern w:val="0"/>
                <w:sz w:val="22"/>
                <w:szCs w:val="22"/>
                <w:highlight w:val="none"/>
                <w:u w:val="none"/>
                <w:lang w:val="en-US" w:eastAsia="zh-CN" w:bidi="ar"/>
              </w:rPr>
              <w:t>二十、粮油物资储备支出</w:t>
            </w:r>
          </w:p>
        </w:tc>
        <w:tc>
          <w:tcPr>
            <w:tcW w:w="120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b/>
                <w:color w:val="000000"/>
                <w:kern w:val="0"/>
                <w:sz w:val="22"/>
                <w:szCs w:val="22"/>
                <w:highlight w:val="none"/>
                <w:lang w:val="en-US" w:eastAsia="zh-CN" w:bidi="ar-SA"/>
              </w:rPr>
            </w:pPr>
          </w:p>
        </w:tc>
      </w:tr>
      <w:tr>
        <w:tblPrEx>
          <w:tblCellMar>
            <w:top w:w="0" w:type="dxa"/>
            <w:left w:w="108" w:type="dxa"/>
            <w:bottom w:w="0" w:type="dxa"/>
            <w:right w:w="108" w:type="dxa"/>
          </w:tblCellMar>
        </w:tblPrEx>
        <w:trPr>
          <w:trHeight w:val="283" w:hRule="atLeast"/>
          <w:jc w:val="center"/>
        </w:trPr>
        <w:tc>
          <w:tcPr>
            <w:tcW w:w="3527"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2"/>
                <w:szCs w:val="22"/>
                <w:highlight w:val="none"/>
                <w:lang w:val="en-US" w:eastAsia="zh-CN" w:bidi="ar-SA"/>
              </w:rPr>
            </w:pPr>
          </w:p>
        </w:tc>
        <w:tc>
          <w:tcPr>
            <w:tcW w:w="920"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2"/>
                <w:szCs w:val="22"/>
                <w:highlight w:val="none"/>
                <w:lang w:val="en-US" w:eastAsia="zh-CN" w:bidi="ar-SA"/>
              </w:rPr>
            </w:pPr>
          </w:p>
        </w:tc>
        <w:tc>
          <w:tcPr>
            <w:tcW w:w="328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color w:val="000000"/>
                <w:kern w:val="0"/>
                <w:sz w:val="22"/>
                <w:szCs w:val="22"/>
                <w:highlight w:val="none"/>
                <w:lang w:val="en-US" w:eastAsia="zh-CN" w:bidi="ar-SA"/>
              </w:rPr>
            </w:pPr>
            <w:r>
              <w:rPr>
                <w:rFonts w:hint="default" w:ascii="Times New Roman" w:hAnsi="Times New Roman" w:eastAsia="宋体" w:cs="Times New Roman"/>
                <w:i w:val="0"/>
                <w:color w:val="000000"/>
                <w:kern w:val="0"/>
                <w:sz w:val="22"/>
                <w:szCs w:val="22"/>
                <w:highlight w:val="none"/>
                <w:u w:val="none"/>
                <w:lang w:val="en-US" w:eastAsia="zh-CN" w:bidi="ar"/>
              </w:rPr>
              <w:t>二十一、灾害防治及应急管理支出</w:t>
            </w:r>
          </w:p>
        </w:tc>
        <w:tc>
          <w:tcPr>
            <w:tcW w:w="120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2"/>
                <w:szCs w:val="22"/>
                <w:highlight w:val="none"/>
                <w:lang w:val="en-US" w:eastAsia="zh-CN" w:bidi="ar-SA"/>
              </w:rPr>
            </w:pPr>
          </w:p>
        </w:tc>
      </w:tr>
      <w:tr>
        <w:tblPrEx>
          <w:tblCellMar>
            <w:top w:w="0" w:type="dxa"/>
            <w:left w:w="108" w:type="dxa"/>
            <w:bottom w:w="0" w:type="dxa"/>
            <w:right w:w="108" w:type="dxa"/>
          </w:tblCellMar>
        </w:tblPrEx>
        <w:trPr>
          <w:trHeight w:val="283" w:hRule="atLeast"/>
          <w:jc w:val="center"/>
        </w:trPr>
        <w:tc>
          <w:tcPr>
            <w:tcW w:w="3527"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2"/>
                <w:szCs w:val="22"/>
                <w:highlight w:val="none"/>
                <w:lang w:val="en-US" w:eastAsia="zh-CN" w:bidi="ar-SA"/>
              </w:rPr>
            </w:pPr>
          </w:p>
        </w:tc>
        <w:tc>
          <w:tcPr>
            <w:tcW w:w="920"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2"/>
                <w:szCs w:val="22"/>
                <w:highlight w:val="none"/>
                <w:lang w:val="en-US" w:eastAsia="zh-CN" w:bidi="ar-SA"/>
              </w:rPr>
            </w:pPr>
          </w:p>
        </w:tc>
        <w:tc>
          <w:tcPr>
            <w:tcW w:w="328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color w:val="000000"/>
                <w:kern w:val="0"/>
                <w:sz w:val="22"/>
                <w:szCs w:val="22"/>
                <w:highlight w:val="none"/>
                <w:lang w:val="en-US" w:eastAsia="zh-CN" w:bidi="ar-SA"/>
              </w:rPr>
            </w:pPr>
            <w:r>
              <w:rPr>
                <w:rFonts w:hint="default" w:ascii="Times New Roman" w:hAnsi="Times New Roman" w:eastAsia="宋体" w:cs="Times New Roman"/>
                <w:i w:val="0"/>
                <w:color w:val="000000"/>
                <w:kern w:val="0"/>
                <w:sz w:val="22"/>
                <w:szCs w:val="22"/>
                <w:highlight w:val="none"/>
                <w:u w:val="none"/>
                <w:lang w:val="en-US" w:eastAsia="zh-CN" w:bidi="ar"/>
              </w:rPr>
              <w:t>二十二、其他支出</w:t>
            </w:r>
          </w:p>
        </w:tc>
        <w:tc>
          <w:tcPr>
            <w:tcW w:w="120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2"/>
                <w:szCs w:val="22"/>
                <w:highlight w:val="none"/>
                <w:lang w:val="en-US" w:eastAsia="zh-CN" w:bidi="ar-SA"/>
              </w:rPr>
            </w:pPr>
          </w:p>
        </w:tc>
      </w:tr>
      <w:tr>
        <w:tblPrEx>
          <w:tblCellMar>
            <w:top w:w="0" w:type="dxa"/>
            <w:left w:w="108" w:type="dxa"/>
            <w:bottom w:w="0" w:type="dxa"/>
            <w:right w:w="108" w:type="dxa"/>
          </w:tblCellMar>
        </w:tblPrEx>
        <w:trPr>
          <w:trHeight w:val="283" w:hRule="atLeast"/>
          <w:jc w:val="center"/>
        </w:trPr>
        <w:tc>
          <w:tcPr>
            <w:tcW w:w="35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b/>
                <w:color w:val="000000"/>
                <w:kern w:val="0"/>
                <w:sz w:val="22"/>
                <w:szCs w:val="22"/>
                <w:highlight w:val="none"/>
                <w:lang w:val="en-US" w:eastAsia="zh-CN" w:bidi="ar-SA"/>
              </w:rPr>
            </w:pPr>
          </w:p>
        </w:tc>
        <w:tc>
          <w:tcPr>
            <w:tcW w:w="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b/>
                <w:color w:val="000000"/>
                <w:kern w:val="0"/>
                <w:sz w:val="22"/>
                <w:szCs w:val="22"/>
                <w:highlight w:val="none"/>
                <w:lang w:val="en-US" w:eastAsia="zh-CN" w:bidi="ar-SA"/>
              </w:rPr>
            </w:pPr>
          </w:p>
        </w:tc>
        <w:tc>
          <w:tcPr>
            <w:tcW w:w="328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b/>
                <w:color w:val="000000"/>
                <w:kern w:val="0"/>
                <w:sz w:val="22"/>
                <w:szCs w:val="22"/>
                <w:highlight w:val="none"/>
                <w:lang w:val="en-US" w:eastAsia="zh-CN" w:bidi="ar-SA"/>
              </w:rPr>
            </w:pPr>
            <w:r>
              <w:rPr>
                <w:rFonts w:hint="default" w:ascii="Times New Roman" w:hAnsi="Times New Roman" w:eastAsia="宋体" w:cs="Times New Roman"/>
                <w:i w:val="0"/>
                <w:color w:val="000000"/>
                <w:kern w:val="0"/>
                <w:sz w:val="22"/>
                <w:szCs w:val="22"/>
                <w:highlight w:val="none"/>
                <w:u w:val="none"/>
                <w:lang w:val="en-US" w:eastAsia="zh-CN" w:bidi="ar"/>
              </w:rPr>
              <w:t>二十三、债务还本支出</w:t>
            </w:r>
          </w:p>
        </w:tc>
        <w:tc>
          <w:tcPr>
            <w:tcW w:w="120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b/>
                <w:color w:val="000000"/>
                <w:kern w:val="0"/>
                <w:sz w:val="22"/>
                <w:szCs w:val="22"/>
                <w:highlight w:val="none"/>
                <w:lang w:val="en-US" w:eastAsia="zh-CN" w:bidi="ar-SA"/>
              </w:rPr>
            </w:pPr>
          </w:p>
        </w:tc>
      </w:tr>
      <w:tr>
        <w:tblPrEx>
          <w:tblCellMar>
            <w:top w:w="0" w:type="dxa"/>
            <w:left w:w="108" w:type="dxa"/>
            <w:bottom w:w="0" w:type="dxa"/>
            <w:right w:w="108" w:type="dxa"/>
          </w:tblCellMar>
        </w:tblPrEx>
        <w:trPr>
          <w:trHeight w:val="283" w:hRule="atLeast"/>
          <w:jc w:val="center"/>
        </w:trPr>
        <w:tc>
          <w:tcPr>
            <w:tcW w:w="35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color w:val="000000"/>
                <w:kern w:val="0"/>
                <w:sz w:val="22"/>
                <w:szCs w:val="22"/>
                <w:highlight w:val="none"/>
              </w:rPr>
            </w:pPr>
          </w:p>
        </w:tc>
        <w:tc>
          <w:tcPr>
            <w:tcW w:w="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b/>
                <w:color w:val="000000"/>
                <w:kern w:val="0"/>
                <w:sz w:val="22"/>
                <w:szCs w:val="22"/>
                <w:highlight w:val="none"/>
                <w:lang w:val="en-US" w:eastAsia="zh-CN" w:bidi="ar-SA"/>
              </w:rPr>
            </w:pPr>
          </w:p>
        </w:tc>
        <w:tc>
          <w:tcPr>
            <w:tcW w:w="328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b/>
                <w:color w:val="000000"/>
                <w:kern w:val="0"/>
                <w:sz w:val="22"/>
                <w:szCs w:val="22"/>
                <w:highlight w:val="none"/>
              </w:rPr>
            </w:pPr>
            <w:r>
              <w:rPr>
                <w:rFonts w:hint="default" w:ascii="Times New Roman" w:hAnsi="Times New Roman" w:eastAsia="宋体" w:cs="Times New Roman"/>
                <w:i w:val="0"/>
                <w:color w:val="000000"/>
                <w:kern w:val="0"/>
                <w:sz w:val="22"/>
                <w:szCs w:val="22"/>
                <w:highlight w:val="none"/>
                <w:u w:val="none"/>
                <w:lang w:val="en-US" w:eastAsia="zh-CN" w:bidi="ar"/>
              </w:rPr>
              <w:t>二十四、债务付息支出</w:t>
            </w:r>
          </w:p>
        </w:tc>
        <w:tc>
          <w:tcPr>
            <w:tcW w:w="120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b/>
                <w:color w:val="000000"/>
                <w:kern w:val="0"/>
                <w:sz w:val="22"/>
                <w:szCs w:val="22"/>
                <w:highlight w:val="none"/>
              </w:rPr>
            </w:pPr>
          </w:p>
        </w:tc>
      </w:tr>
      <w:tr>
        <w:tblPrEx>
          <w:tblCellMar>
            <w:top w:w="0" w:type="dxa"/>
            <w:left w:w="108" w:type="dxa"/>
            <w:bottom w:w="0" w:type="dxa"/>
            <w:right w:w="108" w:type="dxa"/>
          </w:tblCellMar>
        </w:tblPrEx>
        <w:trPr>
          <w:trHeight w:val="283" w:hRule="atLeast"/>
          <w:jc w:val="center"/>
        </w:trPr>
        <w:tc>
          <w:tcPr>
            <w:tcW w:w="35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color w:val="000000"/>
                <w:kern w:val="0"/>
                <w:sz w:val="22"/>
                <w:szCs w:val="22"/>
                <w:highlight w:val="none"/>
              </w:rPr>
            </w:pPr>
          </w:p>
        </w:tc>
        <w:tc>
          <w:tcPr>
            <w:tcW w:w="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b/>
                <w:color w:val="000000"/>
                <w:kern w:val="0"/>
                <w:sz w:val="22"/>
                <w:szCs w:val="22"/>
                <w:highlight w:val="none"/>
                <w:lang w:val="en-US" w:eastAsia="zh-CN" w:bidi="ar-SA"/>
              </w:rPr>
            </w:pPr>
          </w:p>
        </w:tc>
        <w:tc>
          <w:tcPr>
            <w:tcW w:w="32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color w:val="000000"/>
                <w:kern w:val="0"/>
                <w:sz w:val="22"/>
                <w:szCs w:val="22"/>
                <w:highlight w:val="none"/>
              </w:rPr>
            </w:pPr>
          </w:p>
        </w:tc>
        <w:tc>
          <w:tcPr>
            <w:tcW w:w="120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b/>
                <w:color w:val="000000"/>
                <w:kern w:val="0"/>
                <w:sz w:val="22"/>
                <w:szCs w:val="22"/>
                <w:highlight w:val="none"/>
              </w:rPr>
            </w:pPr>
          </w:p>
        </w:tc>
      </w:tr>
      <w:tr>
        <w:tblPrEx>
          <w:tblCellMar>
            <w:top w:w="0" w:type="dxa"/>
            <w:left w:w="108" w:type="dxa"/>
            <w:bottom w:w="0" w:type="dxa"/>
            <w:right w:w="108" w:type="dxa"/>
          </w:tblCellMar>
        </w:tblPrEx>
        <w:trPr>
          <w:trHeight w:val="283" w:hRule="atLeast"/>
          <w:jc w:val="center"/>
        </w:trPr>
        <w:tc>
          <w:tcPr>
            <w:tcW w:w="35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b/>
                <w:color w:val="000000"/>
                <w:kern w:val="0"/>
                <w:sz w:val="22"/>
                <w:szCs w:val="22"/>
                <w:highlight w:val="none"/>
                <w:lang w:val="en-US" w:eastAsia="zh-CN" w:bidi="ar-SA"/>
              </w:rPr>
            </w:pPr>
            <w:r>
              <w:rPr>
                <w:rFonts w:hint="default" w:ascii="Times New Roman" w:hAnsi="Times New Roman" w:cs="Times New Roman"/>
                <w:b/>
                <w:color w:val="000000"/>
                <w:kern w:val="0"/>
                <w:sz w:val="22"/>
                <w:szCs w:val="22"/>
                <w:highlight w:val="none"/>
              </w:rPr>
              <w:t>本年收入合计</w:t>
            </w:r>
          </w:p>
        </w:tc>
        <w:tc>
          <w:tcPr>
            <w:tcW w:w="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b/>
                <w:color w:val="000000"/>
                <w:kern w:val="0"/>
                <w:sz w:val="22"/>
                <w:szCs w:val="22"/>
                <w:highlight w:val="none"/>
                <w:lang w:val="en-US" w:eastAsia="zh-CN" w:bidi="ar-SA"/>
              </w:rPr>
            </w:pPr>
            <w:r>
              <w:rPr>
                <w:rFonts w:hint="default" w:ascii="Times New Roman" w:hAnsi="Times New Roman" w:cs="Times New Roman"/>
                <w:b/>
                <w:color w:val="000000"/>
                <w:kern w:val="0"/>
                <w:sz w:val="22"/>
                <w:szCs w:val="22"/>
                <w:highlight w:val="none"/>
                <w:lang w:val="en-US" w:eastAsia="zh-CN"/>
              </w:rPr>
              <w:t>59.85</w:t>
            </w:r>
          </w:p>
        </w:tc>
        <w:tc>
          <w:tcPr>
            <w:tcW w:w="32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b/>
                <w:color w:val="000000"/>
                <w:kern w:val="0"/>
                <w:sz w:val="22"/>
                <w:szCs w:val="22"/>
                <w:highlight w:val="none"/>
                <w:lang w:val="en-US" w:eastAsia="zh-CN" w:bidi="ar-SA"/>
              </w:rPr>
            </w:pPr>
            <w:r>
              <w:rPr>
                <w:rFonts w:hint="default" w:ascii="Times New Roman" w:hAnsi="Times New Roman" w:cs="Times New Roman"/>
                <w:b/>
                <w:color w:val="000000"/>
                <w:kern w:val="0"/>
                <w:sz w:val="22"/>
                <w:szCs w:val="22"/>
                <w:highlight w:val="none"/>
              </w:rPr>
              <w:t>本年支出合计</w:t>
            </w:r>
          </w:p>
        </w:tc>
        <w:tc>
          <w:tcPr>
            <w:tcW w:w="12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cs="Times New Roman"/>
                <w:b/>
                <w:color w:val="000000"/>
                <w:kern w:val="0"/>
                <w:sz w:val="22"/>
                <w:szCs w:val="22"/>
                <w:highlight w:val="none"/>
                <w:lang w:val="en-US" w:eastAsia="zh-CN"/>
              </w:rPr>
              <w:t>58.54</w:t>
            </w:r>
          </w:p>
        </w:tc>
      </w:tr>
      <w:tr>
        <w:tblPrEx>
          <w:tblCellMar>
            <w:top w:w="0" w:type="dxa"/>
            <w:left w:w="108" w:type="dxa"/>
            <w:bottom w:w="0" w:type="dxa"/>
            <w:right w:w="108" w:type="dxa"/>
          </w:tblCellMar>
        </w:tblPrEx>
        <w:trPr>
          <w:trHeight w:val="283" w:hRule="atLeast"/>
          <w:jc w:val="center"/>
        </w:trPr>
        <w:tc>
          <w:tcPr>
            <w:tcW w:w="3527"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2"/>
                <w:szCs w:val="22"/>
                <w:highlight w:val="none"/>
                <w:lang w:val="en-US" w:eastAsia="zh-CN" w:bidi="ar-SA"/>
              </w:rPr>
            </w:pPr>
            <w:r>
              <w:rPr>
                <w:rFonts w:hint="default" w:ascii="Times New Roman" w:hAnsi="Times New Roman" w:cs="Times New Roman"/>
                <w:color w:val="000000"/>
                <w:kern w:val="0"/>
                <w:sz w:val="22"/>
                <w:szCs w:val="22"/>
                <w:highlight w:val="none"/>
              </w:rPr>
              <w:t>　用事业基金弥补收支差额</w:t>
            </w:r>
          </w:p>
        </w:tc>
        <w:tc>
          <w:tcPr>
            <w:tcW w:w="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2"/>
                <w:szCs w:val="22"/>
                <w:highlight w:val="none"/>
                <w:lang w:val="en-US" w:eastAsia="zh-CN" w:bidi="ar-SA"/>
              </w:rPr>
            </w:pPr>
          </w:p>
        </w:tc>
        <w:tc>
          <w:tcPr>
            <w:tcW w:w="3289"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2"/>
                <w:szCs w:val="22"/>
                <w:highlight w:val="none"/>
                <w:lang w:val="en-US" w:eastAsia="zh-CN" w:bidi="ar-SA"/>
              </w:rPr>
            </w:pPr>
            <w:r>
              <w:rPr>
                <w:rFonts w:hint="default" w:ascii="Times New Roman" w:hAnsi="Times New Roman" w:cs="Times New Roman"/>
                <w:color w:val="000000"/>
                <w:kern w:val="0"/>
                <w:sz w:val="22"/>
                <w:szCs w:val="22"/>
                <w:highlight w:val="none"/>
              </w:rPr>
              <w:t>结余分配</w:t>
            </w:r>
          </w:p>
        </w:tc>
        <w:tc>
          <w:tcPr>
            <w:tcW w:w="12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283" w:hRule="atLeast"/>
          <w:jc w:val="center"/>
        </w:trPr>
        <w:tc>
          <w:tcPr>
            <w:tcW w:w="3527"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2"/>
                <w:szCs w:val="22"/>
                <w:highlight w:val="none"/>
                <w:lang w:val="en-US" w:eastAsia="zh-CN" w:bidi="ar-SA"/>
              </w:rPr>
            </w:pPr>
            <w:r>
              <w:rPr>
                <w:rFonts w:hint="default" w:ascii="Times New Roman" w:hAnsi="Times New Roman" w:cs="Times New Roman"/>
                <w:color w:val="000000"/>
                <w:kern w:val="0"/>
                <w:sz w:val="22"/>
                <w:szCs w:val="22"/>
                <w:highlight w:val="none"/>
              </w:rPr>
              <w:t>　年</w:t>
            </w:r>
            <w:r>
              <w:rPr>
                <w:rFonts w:hint="default" w:ascii="Times New Roman" w:hAnsi="Times New Roman" w:cs="Times New Roman"/>
                <w:color w:val="000000"/>
                <w:kern w:val="0"/>
                <w:sz w:val="22"/>
                <w:szCs w:val="22"/>
                <w:highlight w:val="none"/>
                <w:lang w:eastAsia="zh-CN"/>
              </w:rPr>
              <w:t>初</w:t>
            </w:r>
            <w:r>
              <w:rPr>
                <w:rFonts w:hint="default" w:ascii="Times New Roman" w:hAnsi="Times New Roman" w:cs="Times New Roman"/>
                <w:color w:val="000000"/>
                <w:kern w:val="0"/>
                <w:sz w:val="22"/>
                <w:szCs w:val="22"/>
                <w:highlight w:val="none"/>
              </w:rPr>
              <w:t>结转</w:t>
            </w:r>
            <w:r>
              <w:rPr>
                <w:rFonts w:hint="default" w:ascii="Times New Roman" w:hAnsi="Times New Roman" w:cs="Times New Roman"/>
                <w:color w:val="000000"/>
                <w:kern w:val="0"/>
                <w:sz w:val="22"/>
                <w:szCs w:val="22"/>
                <w:highlight w:val="none"/>
                <w:lang w:eastAsia="zh-CN"/>
              </w:rPr>
              <w:t>和结余</w:t>
            </w:r>
          </w:p>
        </w:tc>
        <w:tc>
          <w:tcPr>
            <w:tcW w:w="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2"/>
                <w:szCs w:val="22"/>
                <w:highlight w:val="none"/>
                <w:lang w:val="en-US" w:eastAsia="zh-CN" w:bidi="ar-SA"/>
              </w:rPr>
            </w:pPr>
            <w:r>
              <w:rPr>
                <w:rFonts w:hint="default" w:ascii="Times New Roman" w:hAnsi="Times New Roman" w:cs="Times New Roman"/>
                <w:color w:val="000000"/>
                <w:kern w:val="0"/>
                <w:sz w:val="22"/>
                <w:szCs w:val="22"/>
                <w:highlight w:val="none"/>
                <w:lang w:val="en-US" w:eastAsia="zh-CN"/>
              </w:rPr>
              <w:t>1.06</w:t>
            </w:r>
          </w:p>
        </w:tc>
        <w:tc>
          <w:tcPr>
            <w:tcW w:w="3289"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2"/>
                <w:szCs w:val="22"/>
                <w:highlight w:val="none"/>
                <w:lang w:val="en-US" w:eastAsia="zh-CN" w:bidi="ar-SA"/>
              </w:rPr>
            </w:pPr>
            <w:r>
              <w:rPr>
                <w:rFonts w:hint="default" w:ascii="Times New Roman" w:hAnsi="Times New Roman" w:cs="Times New Roman"/>
                <w:color w:val="000000"/>
                <w:kern w:val="0"/>
                <w:sz w:val="22"/>
                <w:szCs w:val="22"/>
                <w:highlight w:val="none"/>
              </w:rPr>
              <w:t>年末结转与结余</w:t>
            </w:r>
          </w:p>
        </w:tc>
        <w:tc>
          <w:tcPr>
            <w:tcW w:w="12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default" w:ascii="Times New Roman" w:hAnsi="Times New Roman" w:cs="Times New Roman"/>
                <w:i w:val="0"/>
                <w:color w:val="000000"/>
                <w:kern w:val="0"/>
                <w:sz w:val="22"/>
                <w:szCs w:val="22"/>
                <w:highlight w:val="none"/>
                <w:u w:val="none"/>
                <w:lang w:val="en-US" w:eastAsia="zh-CN" w:bidi="ar"/>
              </w:rPr>
              <w:t>2.38</w:t>
            </w:r>
          </w:p>
        </w:tc>
      </w:tr>
      <w:tr>
        <w:tblPrEx>
          <w:tblCellMar>
            <w:top w:w="0" w:type="dxa"/>
            <w:left w:w="108" w:type="dxa"/>
            <w:bottom w:w="0" w:type="dxa"/>
            <w:right w:w="108" w:type="dxa"/>
          </w:tblCellMar>
        </w:tblPrEx>
        <w:trPr>
          <w:trHeight w:val="283" w:hRule="atLeast"/>
          <w:jc w:val="center"/>
        </w:trPr>
        <w:tc>
          <w:tcPr>
            <w:tcW w:w="35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b/>
                <w:color w:val="000000"/>
                <w:kern w:val="0"/>
                <w:sz w:val="22"/>
                <w:szCs w:val="22"/>
                <w:highlight w:val="none"/>
                <w:lang w:val="en-US" w:eastAsia="zh-CN" w:bidi="ar-SA"/>
              </w:rPr>
            </w:pPr>
          </w:p>
        </w:tc>
        <w:tc>
          <w:tcPr>
            <w:tcW w:w="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b/>
                <w:color w:val="000000"/>
                <w:kern w:val="0"/>
                <w:sz w:val="22"/>
                <w:szCs w:val="22"/>
                <w:highlight w:val="none"/>
                <w:lang w:val="en-US" w:eastAsia="zh-CN" w:bidi="ar-SA"/>
              </w:rPr>
            </w:pPr>
          </w:p>
        </w:tc>
        <w:tc>
          <w:tcPr>
            <w:tcW w:w="32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b/>
                <w:color w:val="000000"/>
                <w:kern w:val="0"/>
                <w:sz w:val="22"/>
                <w:szCs w:val="22"/>
                <w:highlight w:val="none"/>
                <w:lang w:val="en-US" w:eastAsia="zh-CN" w:bidi="ar-SA"/>
              </w:rPr>
            </w:pPr>
          </w:p>
        </w:tc>
        <w:tc>
          <w:tcPr>
            <w:tcW w:w="12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283" w:hRule="atLeast"/>
          <w:jc w:val="center"/>
        </w:trPr>
        <w:tc>
          <w:tcPr>
            <w:tcW w:w="35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b/>
                <w:color w:val="000000"/>
                <w:kern w:val="0"/>
                <w:sz w:val="22"/>
                <w:szCs w:val="22"/>
                <w:highlight w:val="none"/>
                <w:lang w:val="en-US" w:eastAsia="zh-CN" w:bidi="ar-SA"/>
              </w:rPr>
            </w:pPr>
            <w:r>
              <w:rPr>
                <w:rFonts w:hint="default" w:ascii="Times New Roman" w:hAnsi="Times New Roman" w:cs="Times New Roman"/>
                <w:b/>
                <w:color w:val="000000"/>
                <w:kern w:val="0"/>
                <w:sz w:val="22"/>
                <w:szCs w:val="22"/>
                <w:highlight w:val="none"/>
              </w:rPr>
              <w:t>收入总计</w:t>
            </w:r>
          </w:p>
        </w:tc>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highlight w:val="none"/>
                <w:u w:val="none"/>
                <w:lang w:val="en-US" w:eastAsia="zh-CN" w:bidi="ar-SA"/>
              </w:rPr>
            </w:pPr>
            <w:r>
              <w:rPr>
                <w:rFonts w:hint="default" w:ascii="Times New Roman" w:hAnsi="Times New Roman" w:cs="Times New Roman"/>
                <w:b/>
                <w:color w:val="000000"/>
                <w:kern w:val="0"/>
                <w:sz w:val="22"/>
                <w:szCs w:val="22"/>
                <w:highlight w:val="none"/>
                <w:lang w:val="en-US" w:eastAsia="zh-CN"/>
              </w:rPr>
              <w:t>60.92</w:t>
            </w:r>
          </w:p>
        </w:tc>
        <w:tc>
          <w:tcPr>
            <w:tcW w:w="32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b/>
                <w:color w:val="000000"/>
                <w:kern w:val="0"/>
                <w:sz w:val="22"/>
                <w:szCs w:val="22"/>
                <w:highlight w:val="none"/>
                <w:lang w:val="en-US" w:eastAsia="zh-CN" w:bidi="ar-SA"/>
              </w:rPr>
            </w:pPr>
            <w:r>
              <w:rPr>
                <w:rFonts w:hint="default" w:ascii="Times New Roman" w:hAnsi="Times New Roman" w:cs="Times New Roman"/>
                <w:b/>
                <w:color w:val="000000"/>
                <w:kern w:val="0"/>
                <w:sz w:val="22"/>
                <w:szCs w:val="22"/>
                <w:highlight w:val="none"/>
              </w:rPr>
              <w:t>支出总计</w:t>
            </w:r>
          </w:p>
        </w:tc>
        <w:tc>
          <w:tcPr>
            <w:tcW w:w="120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highlight w:val="none"/>
                <w:u w:val="none"/>
                <w:lang w:val="en-US" w:eastAsia="zh-CN" w:bidi="ar"/>
              </w:rPr>
            </w:pPr>
            <w:r>
              <w:rPr>
                <w:rFonts w:hint="default" w:ascii="Times New Roman" w:hAnsi="Times New Roman" w:cs="Times New Roman"/>
                <w:b/>
                <w:color w:val="000000"/>
                <w:kern w:val="0"/>
                <w:sz w:val="22"/>
                <w:szCs w:val="22"/>
                <w:highlight w:val="none"/>
                <w:lang w:val="en-US" w:eastAsia="zh-CN"/>
              </w:rPr>
              <w:t>60.92</w:t>
            </w:r>
          </w:p>
        </w:tc>
      </w:tr>
    </w:tbl>
    <w:p>
      <w:pPr>
        <w:rPr>
          <w:rFonts w:hint="default" w:ascii="Times New Roman" w:hAnsi="Times New Roman" w:cs="Times New Roman"/>
        </w:rPr>
        <w:sectPr>
          <w:headerReference r:id="rId5" w:type="first"/>
          <w:footerReference r:id="rId8" w:type="first"/>
          <w:headerReference r:id="rId3" w:type="default"/>
          <w:footerReference r:id="rId6" w:type="default"/>
          <w:headerReference r:id="rId4" w:type="even"/>
          <w:footerReference r:id="rId7" w:type="even"/>
          <w:pgSz w:w="11906" w:h="16838"/>
          <w:pgMar w:top="2098" w:right="1418" w:bottom="1701" w:left="1588" w:header="851" w:footer="992" w:gutter="0"/>
          <w:cols w:space="720" w:num="1"/>
          <w:docGrid w:type="lines" w:linePitch="312" w:charSpace="0"/>
        </w:sectPr>
      </w:pPr>
      <w:r>
        <w:rPr>
          <w:rFonts w:hint="default" w:ascii="Times New Roman" w:hAnsi="Times New Roman" w:cs="Times New Roman"/>
        </w:rPr>
        <w:t>注：本表反映</w:t>
      </w:r>
      <w:r>
        <w:rPr>
          <w:rFonts w:hint="eastAsia" w:cs="Times New Roman"/>
          <w:lang w:eastAsia="zh-CN"/>
        </w:rPr>
        <w:t>单位</w:t>
      </w:r>
      <w:r>
        <w:rPr>
          <w:rFonts w:hint="default" w:ascii="Times New Roman" w:hAnsi="Times New Roman" w:cs="Times New Roman"/>
        </w:rPr>
        <w:t>本年度的总收支和年末结转结余情况。</w:t>
      </w:r>
    </w:p>
    <w:p>
      <w:pPr>
        <w:jc w:val="center"/>
        <w:rPr>
          <w:rFonts w:hint="default" w:ascii="Times New Roman" w:hAnsi="Times New Roman" w:cs="Times New Roman"/>
        </w:rPr>
      </w:pPr>
      <w:r>
        <w:rPr>
          <w:rFonts w:hint="default" w:ascii="Times New Roman" w:hAnsi="Times New Roman" w:eastAsia="方正小标宋简体" w:cs="Times New Roman"/>
          <w:kern w:val="0"/>
          <w:sz w:val="36"/>
          <w:szCs w:val="36"/>
        </w:rPr>
        <w:t>表二：收入决算表</w:t>
      </w:r>
    </w:p>
    <w:p>
      <w:pPr>
        <w:jc w:val="right"/>
        <w:rPr>
          <w:rFonts w:hint="default" w:ascii="Times New Roman" w:hAnsi="Times New Roman" w:cs="Times New Roman"/>
          <w:sz w:val="22"/>
          <w:szCs w:val="22"/>
        </w:rPr>
      </w:pPr>
      <w:r>
        <w:rPr>
          <w:rFonts w:hint="default" w:ascii="Times New Roman" w:hAnsi="Times New Roman" w:cs="Times New Roman"/>
          <w:sz w:val="22"/>
          <w:szCs w:val="22"/>
        </w:rPr>
        <w:t xml:space="preserve">单位：万元                     </w:t>
      </w:r>
    </w:p>
    <w:tbl>
      <w:tblPr>
        <w:tblStyle w:val="6"/>
        <w:tblW w:w="14140" w:type="dxa"/>
        <w:jc w:val="center"/>
        <w:tblLayout w:type="fixed"/>
        <w:tblCellMar>
          <w:top w:w="0" w:type="dxa"/>
          <w:left w:w="108" w:type="dxa"/>
          <w:bottom w:w="0" w:type="dxa"/>
          <w:right w:w="108" w:type="dxa"/>
        </w:tblCellMar>
      </w:tblPr>
      <w:tblGrid>
        <w:gridCol w:w="1773"/>
        <w:gridCol w:w="4509"/>
        <w:gridCol w:w="1148"/>
        <w:gridCol w:w="995"/>
        <w:gridCol w:w="1011"/>
        <w:gridCol w:w="771"/>
        <w:gridCol w:w="1303"/>
        <w:gridCol w:w="1800"/>
        <w:gridCol w:w="830"/>
      </w:tblGrid>
      <w:tr>
        <w:tblPrEx>
          <w:tblCellMar>
            <w:top w:w="0" w:type="dxa"/>
            <w:left w:w="108" w:type="dxa"/>
            <w:bottom w:w="0" w:type="dxa"/>
            <w:right w:w="108" w:type="dxa"/>
          </w:tblCellMar>
        </w:tblPrEx>
        <w:trPr>
          <w:trHeight w:val="288" w:hRule="atLeast"/>
          <w:jc w:val="center"/>
        </w:trPr>
        <w:tc>
          <w:tcPr>
            <w:tcW w:w="6282" w:type="dxa"/>
            <w:gridSpan w:val="2"/>
            <w:tcBorders>
              <w:top w:val="single" w:color="auto" w:sz="4" w:space="0"/>
              <w:left w:val="single" w:color="auto" w:sz="4" w:space="0"/>
              <w:bottom w:val="single" w:color="auto" w:sz="4" w:space="0"/>
              <w:right w:val="single" w:color="000000" w:sz="4" w:space="0"/>
            </w:tcBorders>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支出功能项 目</w:t>
            </w:r>
          </w:p>
        </w:tc>
        <w:tc>
          <w:tcPr>
            <w:tcW w:w="114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本年收入合计</w:t>
            </w:r>
          </w:p>
        </w:tc>
        <w:tc>
          <w:tcPr>
            <w:tcW w:w="99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财政拨款收入</w:t>
            </w:r>
          </w:p>
        </w:tc>
        <w:tc>
          <w:tcPr>
            <w:tcW w:w="101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上级补助收入</w:t>
            </w:r>
          </w:p>
        </w:tc>
        <w:tc>
          <w:tcPr>
            <w:tcW w:w="771" w:type="dxa"/>
            <w:vMerge w:val="restart"/>
            <w:tcBorders>
              <w:top w:val="single" w:color="auto" w:sz="4" w:space="0"/>
              <w:left w:val="single" w:color="auto" w:sz="4" w:space="0"/>
              <w:right w:val="single" w:color="auto" w:sz="4" w:space="0"/>
            </w:tcBorders>
            <w:vAlign w:val="center"/>
          </w:tcPr>
          <w:p>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事业收入</w:t>
            </w:r>
          </w:p>
          <w:p>
            <w:pPr>
              <w:widowControl/>
              <w:jc w:val="left"/>
              <w:rPr>
                <w:rFonts w:hint="default" w:ascii="Times New Roman" w:hAnsi="Times New Roman" w:cs="Times New Roman"/>
                <w:color w:val="000000"/>
                <w:kern w:val="0"/>
                <w:sz w:val="22"/>
                <w:szCs w:val="22"/>
              </w:rPr>
            </w:pPr>
          </w:p>
        </w:tc>
        <w:tc>
          <w:tcPr>
            <w:tcW w:w="130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经营收入</w:t>
            </w:r>
          </w:p>
        </w:tc>
        <w:tc>
          <w:tcPr>
            <w:tcW w:w="18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附属单位上缴收入</w:t>
            </w:r>
          </w:p>
        </w:tc>
        <w:tc>
          <w:tcPr>
            <w:tcW w:w="83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其他收入</w:t>
            </w:r>
          </w:p>
        </w:tc>
      </w:tr>
      <w:tr>
        <w:tblPrEx>
          <w:tblCellMar>
            <w:top w:w="0" w:type="dxa"/>
            <w:left w:w="108" w:type="dxa"/>
            <w:bottom w:w="0" w:type="dxa"/>
            <w:right w:w="108" w:type="dxa"/>
          </w:tblCellMar>
        </w:tblPrEx>
        <w:trPr>
          <w:trHeight w:val="288" w:hRule="atLeast"/>
          <w:jc w:val="center"/>
        </w:trPr>
        <w:tc>
          <w:tcPr>
            <w:tcW w:w="1773" w:type="dxa"/>
            <w:tcBorders>
              <w:top w:val="nil"/>
              <w:left w:val="single" w:color="auto" w:sz="4" w:space="0"/>
              <w:bottom w:val="single" w:color="auto" w:sz="4" w:space="0"/>
              <w:right w:val="single" w:color="auto" w:sz="4" w:space="0"/>
            </w:tcBorders>
          </w:tcPr>
          <w:p>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支出功能分类科目编码</w:t>
            </w:r>
          </w:p>
        </w:tc>
        <w:tc>
          <w:tcPr>
            <w:tcW w:w="4509" w:type="dxa"/>
            <w:tcBorders>
              <w:top w:val="nil"/>
              <w:left w:val="nil"/>
              <w:bottom w:val="single" w:color="auto" w:sz="4" w:space="0"/>
              <w:right w:val="single" w:color="auto" w:sz="4" w:space="0"/>
            </w:tcBorders>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科目名称</w:t>
            </w:r>
          </w:p>
        </w:tc>
        <w:tc>
          <w:tcPr>
            <w:tcW w:w="11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2"/>
                <w:szCs w:val="22"/>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2"/>
                <w:szCs w:val="22"/>
              </w:rPr>
            </w:pPr>
          </w:p>
        </w:tc>
        <w:tc>
          <w:tcPr>
            <w:tcW w:w="10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2"/>
                <w:szCs w:val="22"/>
              </w:rPr>
            </w:pPr>
          </w:p>
        </w:tc>
        <w:tc>
          <w:tcPr>
            <w:tcW w:w="771" w:type="dxa"/>
            <w:vMerge w:val="continue"/>
            <w:tcBorders>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rPr>
            </w:pPr>
          </w:p>
        </w:tc>
        <w:tc>
          <w:tcPr>
            <w:tcW w:w="13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2"/>
                <w:szCs w:val="22"/>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6282" w:type="dxa"/>
            <w:gridSpan w:val="2"/>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b/>
                <w:bCs/>
                <w:kern w:val="0"/>
                <w:sz w:val="22"/>
                <w:szCs w:val="22"/>
              </w:rPr>
              <w:t>栏次</w:t>
            </w:r>
          </w:p>
        </w:tc>
        <w:tc>
          <w:tcPr>
            <w:tcW w:w="1148" w:type="dxa"/>
            <w:tcBorders>
              <w:top w:val="nil"/>
              <w:left w:val="nil"/>
              <w:bottom w:val="single" w:color="auto" w:sz="4" w:space="0"/>
              <w:right w:val="single" w:color="auto" w:sz="4" w:space="0"/>
            </w:tcBorders>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1</w:t>
            </w:r>
          </w:p>
        </w:tc>
        <w:tc>
          <w:tcPr>
            <w:tcW w:w="995" w:type="dxa"/>
            <w:tcBorders>
              <w:top w:val="nil"/>
              <w:left w:val="nil"/>
              <w:bottom w:val="single" w:color="auto" w:sz="4" w:space="0"/>
              <w:right w:val="single" w:color="auto" w:sz="4" w:space="0"/>
            </w:tcBorders>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2</w:t>
            </w:r>
          </w:p>
        </w:tc>
        <w:tc>
          <w:tcPr>
            <w:tcW w:w="1011" w:type="dxa"/>
            <w:tcBorders>
              <w:top w:val="nil"/>
              <w:left w:val="nil"/>
              <w:bottom w:val="single" w:color="auto" w:sz="4" w:space="0"/>
              <w:right w:val="single" w:color="auto" w:sz="4" w:space="0"/>
            </w:tcBorders>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3</w:t>
            </w:r>
          </w:p>
        </w:tc>
        <w:tc>
          <w:tcPr>
            <w:tcW w:w="771" w:type="dxa"/>
            <w:tcBorders>
              <w:top w:val="nil"/>
              <w:left w:val="nil"/>
              <w:bottom w:val="single" w:color="auto" w:sz="4" w:space="0"/>
              <w:right w:val="single" w:color="auto" w:sz="4" w:space="0"/>
            </w:tcBorders>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4</w:t>
            </w:r>
          </w:p>
        </w:tc>
        <w:tc>
          <w:tcPr>
            <w:tcW w:w="1303" w:type="dxa"/>
            <w:tcBorders>
              <w:top w:val="nil"/>
              <w:left w:val="nil"/>
              <w:bottom w:val="single" w:color="auto" w:sz="4" w:space="0"/>
              <w:right w:val="single" w:color="auto" w:sz="4" w:space="0"/>
            </w:tcBorders>
          </w:tcPr>
          <w:p>
            <w:pPr>
              <w:widowControl/>
              <w:ind w:firstLine="660" w:firstLineChars="300"/>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5</w:t>
            </w:r>
          </w:p>
        </w:tc>
        <w:tc>
          <w:tcPr>
            <w:tcW w:w="1800" w:type="dxa"/>
            <w:tcBorders>
              <w:top w:val="nil"/>
              <w:left w:val="nil"/>
              <w:bottom w:val="single" w:color="auto" w:sz="4" w:space="0"/>
              <w:right w:val="single" w:color="auto" w:sz="4" w:space="0"/>
            </w:tcBorders>
          </w:tcPr>
          <w:p>
            <w:pPr>
              <w:widowControl/>
              <w:ind w:firstLine="660" w:firstLineChars="300"/>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6</w:t>
            </w:r>
          </w:p>
        </w:tc>
        <w:tc>
          <w:tcPr>
            <w:tcW w:w="830" w:type="dxa"/>
            <w:tcBorders>
              <w:top w:val="nil"/>
              <w:left w:val="nil"/>
              <w:bottom w:val="single" w:color="auto" w:sz="4" w:space="0"/>
              <w:right w:val="single" w:color="auto" w:sz="4" w:space="0"/>
            </w:tcBorders>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7</w:t>
            </w:r>
          </w:p>
        </w:tc>
      </w:tr>
      <w:tr>
        <w:tblPrEx>
          <w:tblCellMar>
            <w:top w:w="0" w:type="dxa"/>
            <w:left w:w="108" w:type="dxa"/>
            <w:bottom w:w="0" w:type="dxa"/>
            <w:right w:w="108" w:type="dxa"/>
          </w:tblCellMar>
        </w:tblPrEx>
        <w:trPr>
          <w:trHeight w:val="288" w:hRule="atLeast"/>
          <w:jc w:val="center"/>
        </w:trPr>
        <w:tc>
          <w:tcPr>
            <w:tcW w:w="6282"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highlight w:val="none"/>
              </w:rPr>
              <w:t>合计</w:t>
            </w:r>
          </w:p>
        </w:tc>
        <w:tc>
          <w:tcPr>
            <w:tcW w:w="114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 xml:space="preserve">59.85 </w:t>
            </w:r>
          </w:p>
        </w:tc>
        <w:tc>
          <w:tcPr>
            <w:tcW w:w="99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 xml:space="preserve">59.85 </w:t>
            </w:r>
          </w:p>
        </w:tc>
        <w:tc>
          <w:tcPr>
            <w:tcW w:w="1011" w:type="dxa"/>
            <w:tcBorders>
              <w:top w:val="nil"/>
              <w:left w:val="nil"/>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771" w:type="dxa"/>
            <w:tcBorders>
              <w:top w:val="nil"/>
              <w:left w:val="nil"/>
              <w:bottom w:val="single" w:color="auto" w:sz="4" w:space="0"/>
              <w:right w:val="single" w:color="auto" w:sz="4" w:space="0"/>
            </w:tcBorders>
          </w:tcPr>
          <w:p>
            <w:pPr>
              <w:widowControl/>
              <w:ind w:firstLine="440" w:firstLineChars="2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303" w:type="dxa"/>
            <w:tcBorders>
              <w:top w:val="nil"/>
              <w:left w:val="nil"/>
              <w:bottom w:val="single" w:color="auto" w:sz="4" w:space="0"/>
              <w:right w:val="single" w:color="auto" w:sz="4" w:space="0"/>
            </w:tcBorders>
          </w:tcPr>
          <w:p>
            <w:pPr>
              <w:widowControl/>
              <w:ind w:firstLine="440" w:firstLineChars="2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800" w:type="dxa"/>
            <w:tcBorders>
              <w:top w:val="nil"/>
              <w:left w:val="nil"/>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830" w:type="dxa"/>
            <w:tcBorders>
              <w:top w:val="nil"/>
              <w:left w:val="nil"/>
              <w:bottom w:val="single" w:color="auto" w:sz="4" w:space="0"/>
              <w:right w:val="single" w:color="auto" w:sz="4" w:space="0"/>
            </w:tcBorders>
          </w:tcPr>
          <w:p>
            <w:pPr>
              <w:widowControl/>
              <w:ind w:firstLine="440" w:firstLineChars="2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77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201</w:t>
            </w:r>
          </w:p>
        </w:tc>
        <w:tc>
          <w:tcPr>
            <w:tcW w:w="4509" w:type="dxa"/>
            <w:tcBorders>
              <w:top w:val="nil"/>
              <w:left w:val="nil"/>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一般公共服务支出</w:t>
            </w:r>
          </w:p>
        </w:tc>
        <w:tc>
          <w:tcPr>
            <w:tcW w:w="114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 xml:space="preserve">50.78 </w:t>
            </w:r>
          </w:p>
        </w:tc>
        <w:tc>
          <w:tcPr>
            <w:tcW w:w="99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 xml:space="preserve">50.78 </w:t>
            </w:r>
          </w:p>
        </w:tc>
        <w:tc>
          <w:tcPr>
            <w:tcW w:w="1011" w:type="dxa"/>
            <w:tcBorders>
              <w:top w:val="nil"/>
              <w:left w:val="nil"/>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771" w:type="dxa"/>
            <w:tcBorders>
              <w:top w:val="nil"/>
              <w:left w:val="nil"/>
              <w:bottom w:val="single" w:color="auto" w:sz="4" w:space="0"/>
              <w:right w:val="single" w:color="auto" w:sz="4" w:space="0"/>
            </w:tcBorders>
          </w:tcPr>
          <w:p>
            <w:pPr>
              <w:widowControl/>
              <w:ind w:firstLine="880" w:firstLineChars="4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303" w:type="dxa"/>
            <w:tcBorders>
              <w:top w:val="nil"/>
              <w:left w:val="nil"/>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800" w:type="dxa"/>
            <w:tcBorders>
              <w:top w:val="nil"/>
              <w:left w:val="nil"/>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830" w:type="dxa"/>
            <w:tcBorders>
              <w:top w:val="nil"/>
              <w:left w:val="nil"/>
              <w:bottom w:val="single" w:color="auto" w:sz="4" w:space="0"/>
              <w:right w:val="single" w:color="auto" w:sz="4" w:space="0"/>
            </w:tcBorders>
          </w:tcPr>
          <w:p>
            <w:pPr>
              <w:widowControl/>
              <w:ind w:firstLine="1100" w:firstLineChars="5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77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20131</w:t>
            </w:r>
          </w:p>
        </w:tc>
        <w:tc>
          <w:tcPr>
            <w:tcW w:w="4509" w:type="dxa"/>
            <w:tcBorders>
              <w:top w:val="nil"/>
              <w:left w:val="nil"/>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党委办公厅（室）及相关机构事务</w:t>
            </w:r>
          </w:p>
        </w:tc>
        <w:tc>
          <w:tcPr>
            <w:tcW w:w="114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 xml:space="preserve">50.35 </w:t>
            </w:r>
          </w:p>
        </w:tc>
        <w:tc>
          <w:tcPr>
            <w:tcW w:w="99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 xml:space="preserve">50.35 </w:t>
            </w:r>
          </w:p>
        </w:tc>
        <w:tc>
          <w:tcPr>
            <w:tcW w:w="1011" w:type="dxa"/>
            <w:tcBorders>
              <w:top w:val="nil"/>
              <w:left w:val="nil"/>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771" w:type="dxa"/>
            <w:tcBorders>
              <w:top w:val="nil"/>
              <w:left w:val="nil"/>
              <w:bottom w:val="single" w:color="auto" w:sz="4" w:space="0"/>
              <w:right w:val="single" w:color="auto" w:sz="4" w:space="0"/>
            </w:tcBorders>
          </w:tcPr>
          <w:p>
            <w:pPr>
              <w:widowControl/>
              <w:ind w:firstLine="880" w:firstLineChars="4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303" w:type="dxa"/>
            <w:tcBorders>
              <w:top w:val="nil"/>
              <w:left w:val="nil"/>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800" w:type="dxa"/>
            <w:tcBorders>
              <w:top w:val="nil"/>
              <w:left w:val="nil"/>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830" w:type="dxa"/>
            <w:tcBorders>
              <w:top w:val="nil"/>
              <w:left w:val="nil"/>
              <w:bottom w:val="single" w:color="auto" w:sz="4" w:space="0"/>
              <w:right w:val="single" w:color="auto" w:sz="4" w:space="0"/>
            </w:tcBorders>
          </w:tcPr>
          <w:p>
            <w:pPr>
              <w:widowControl/>
              <w:ind w:firstLine="1100" w:firstLineChars="5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77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2013101</w:t>
            </w:r>
          </w:p>
        </w:tc>
        <w:tc>
          <w:tcPr>
            <w:tcW w:w="4509" w:type="dxa"/>
            <w:tcBorders>
              <w:top w:val="nil"/>
              <w:left w:val="nil"/>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行政运行</w:t>
            </w:r>
          </w:p>
        </w:tc>
        <w:tc>
          <w:tcPr>
            <w:tcW w:w="114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 xml:space="preserve">21.93 </w:t>
            </w:r>
          </w:p>
        </w:tc>
        <w:tc>
          <w:tcPr>
            <w:tcW w:w="99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 xml:space="preserve">21.93 </w:t>
            </w:r>
          </w:p>
        </w:tc>
        <w:tc>
          <w:tcPr>
            <w:tcW w:w="1011" w:type="dxa"/>
            <w:tcBorders>
              <w:top w:val="nil"/>
              <w:left w:val="nil"/>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771" w:type="dxa"/>
            <w:tcBorders>
              <w:top w:val="nil"/>
              <w:left w:val="nil"/>
              <w:bottom w:val="single" w:color="auto" w:sz="4" w:space="0"/>
              <w:right w:val="single" w:color="auto" w:sz="4" w:space="0"/>
            </w:tcBorders>
          </w:tcPr>
          <w:p>
            <w:pPr>
              <w:widowControl/>
              <w:ind w:firstLine="880" w:firstLineChars="4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303" w:type="dxa"/>
            <w:tcBorders>
              <w:top w:val="nil"/>
              <w:left w:val="nil"/>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800" w:type="dxa"/>
            <w:tcBorders>
              <w:top w:val="nil"/>
              <w:left w:val="nil"/>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830" w:type="dxa"/>
            <w:tcBorders>
              <w:top w:val="nil"/>
              <w:left w:val="nil"/>
              <w:bottom w:val="single" w:color="auto" w:sz="4" w:space="0"/>
              <w:right w:val="single" w:color="auto" w:sz="4" w:space="0"/>
            </w:tcBorders>
          </w:tcPr>
          <w:p>
            <w:pPr>
              <w:widowControl/>
              <w:ind w:firstLine="1100" w:firstLineChars="5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7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2013199</w:t>
            </w:r>
          </w:p>
        </w:tc>
        <w:tc>
          <w:tcPr>
            <w:tcW w:w="45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其他党委办公厅（室）及相关机构事务支出</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 xml:space="preserve">28.42 </w:t>
            </w:r>
          </w:p>
        </w:tc>
        <w:tc>
          <w:tcPr>
            <w:tcW w:w="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 xml:space="preserve">28.42 </w:t>
            </w:r>
          </w:p>
        </w:tc>
        <w:tc>
          <w:tcPr>
            <w:tcW w:w="1011"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771"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303"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80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83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7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20137</w:t>
            </w:r>
          </w:p>
        </w:tc>
        <w:tc>
          <w:tcPr>
            <w:tcW w:w="45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网信事务</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 xml:space="preserve">0.43 </w:t>
            </w:r>
          </w:p>
        </w:tc>
        <w:tc>
          <w:tcPr>
            <w:tcW w:w="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 xml:space="preserve">0.43 </w:t>
            </w:r>
          </w:p>
        </w:tc>
        <w:tc>
          <w:tcPr>
            <w:tcW w:w="1011"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771"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303"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80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83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7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2013750</w:t>
            </w:r>
          </w:p>
        </w:tc>
        <w:tc>
          <w:tcPr>
            <w:tcW w:w="45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事业运行</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 xml:space="preserve">0.43 </w:t>
            </w:r>
          </w:p>
        </w:tc>
        <w:tc>
          <w:tcPr>
            <w:tcW w:w="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 xml:space="preserve">0.43 </w:t>
            </w:r>
          </w:p>
        </w:tc>
        <w:tc>
          <w:tcPr>
            <w:tcW w:w="1011"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771"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303"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80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83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7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208</w:t>
            </w:r>
          </w:p>
        </w:tc>
        <w:tc>
          <w:tcPr>
            <w:tcW w:w="45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社会保障和就业支出</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 xml:space="preserve">4.97 </w:t>
            </w:r>
          </w:p>
        </w:tc>
        <w:tc>
          <w:tcPr>
            <w:tcW w:w="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 xml:space="preserve">4.97 </w:t>
            </w:r>
          </w:p>
        </w:tc>
        <w:tc>
          <w:tcPr>
            <w:tcW w:w="1011"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771"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303"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80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83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7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20805</w:t>
            </w:r>
          </w:p>
        </w:tc>
        <w:tc>
          <w:tcPr>
            <w:tcW w:w="45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行政事业单位养老支出</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 xml:space="preserve">4.97 </w:t>
            </w:r>
          </w:p>
        </w:tc>
        <w:tc>
          <w:tcPr>
            <w:tcW w:w="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 xml:space="preserve">4.97 </w:t>
            </w:r>
          </w:p>
        </w:tc>
        <w:tc>
          <w:tcPr>
            <w:tcW w:w="1011"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771"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303"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80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83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7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2080505</w:t>
            </w:r>
          </w:p>
        </w:tc>
        <w:tc>
          <w:tcPr>
            <w:tcW w:w="45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机关事业单位基本养老保险缴费支出</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3.93 </w:t>
            </w:r>
          </w:p>
        </w:tc>
        <w:tc>
          <w:tcPr>
            <w:tcW w:w="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3.93 </w:t>
            </w:r>
          </w:p>
        </w:tc>
        <w:tc>
          <w:tcPr>
            <w:tcW w:w="1011"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p>
        </w:tc>
        <w:tc>
          <w:tcPr>
            <w:tcW w:w="771"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p>
        </w:tc>
        <w:tc>
          <w:tcPr>
            <w:tcW w:w="1303"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p>
        </w:tc>
        <w:tc>
          <w:tcPr>
            <w:tcW w:w="180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p>
        </w:tc>
        <w:tc>
          <w:tcPr>
            <w:tcW w:w="83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7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2080506</w:t>
            </w:r>
          </w:p>
        </w:tc>
        <w:tc>
          <w:tcPr>
            <w:tcW w:w="45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机关事业单位职业年金缴费支出</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1.04 </w:t>
            </w:r>
          </w:p>
        </w:tc>
        <w:tc>
          <w:tcPr>
            <w:tcW w:w="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1.04 </w:t>
            </w:r>
          </w:p>
        </w:tc>
        <w:tc>
          <w:tcPr>
            <w:tcW w:w="1011"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p>
        </w:tc>
        <w:tc>
          <w:tcPr>
            <w:tcW w:w="771"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p>
        </w:tc>
        <w:tc>
          <w:tcPr>
            <w:tcW w:w="1303"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p>
        </w:tc>
        <w:tc>
          <w:tcPr>
            <w:tcW w:w="180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p>
        </w:tc>
        <w:tc>
          <w:tcPr>
            <w:tcW w:w="83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7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210</w:t>
            </w:r>
          </w:p>
        </w:tc>
        <w:tc>
          <w:tcPr>
            <w:tcW w:w="45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卫生健康支出</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1.11 </w:t>
            </w:r>
          </w:p>
        </w:tc>
        <w:tc>
          <w:tcPr>
            <w:tcW w:w="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1.11 </w:t>
            </w:r>
          </w:p>
        </w:tc>
        <w:tc>
          <w:tcPr>
            <w:tcW w:w="1011"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p>
        </w:tc>
        <w:tc>
          <w:tcPr>
            <w:tcW w:w="771"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p>
        </w:tc>
        <w:tc>
          <w:tcPr>
            <w:tcW w:w="1303"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p>
        </w:tc>
        <w:tc>
          <w:tcPr>
            <w:tcW w:w="180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p>
        </w:tc>
        <w:tc>
          <w:tcPr>
            <w:tcW w:w="83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7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21011</w:t>
            </w:r>
          </w:p>
        </w:tc>
        <w:tc>
          <w:tcPr>
            <w:tcW w:w="45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行政事业单位医疗</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1.11 </w:t>
            </w:r>
          </w:p>
        </w:tc>
        <w:tc>
          <w:tcPr>
            <w:tcW w:w="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1.11 </w:t>
            </w:r>
          </w:p>
        </w:tc>
        <w:tc>
          <w:tcPr>
            <w:tcW w:w="1011"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p>
        </w:tc>
        <w:tc>
          <w:tcPr>
            <w:tcW w:w="771"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p>
        </w:tc>
        <w:tc>
          <w:tcPr>
            <w:tcW w:w="1303"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p>
        </w:tc>
        <w:tc>
          <w:tcPr>
            <w:tcW w:w="180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p>
        </w:tc>
        <w:tc>
          <w:tcPr>
            <w:tcW w:w="83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7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2101102</w:t>
            </w:r>
          </w:p>
        </w:tc>
        <w:tc>
          <w:tcPr>
            <w:tcW w:w="45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事业单位医疗</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1.11 </w:t>
            </w:r>
          </w:p>
        </w:tc>
        <w:tc>
          <w:tcPr>
            <w:tcW w:w="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1.11 </w:t>
            </w:r>
          </w:p>
        </w:tc>
        <w:tc>
          <w:tcPr>
            <w:tcW w:w="1011"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p>
        </w:tc>
        <w:tc>
          <w:tcPr>
            <w:tcW w:w="771"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p>
        </w:tc>
        <w:tc>
          <w:tcPr>
            <w:tcW w:w="1303"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p>
        </w:tc>
        <w:tc>
          <w:tcPr>
            <w:tcW w:w="180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p>
        </w:tc>
        <w:tc>
          <w:tcPr>
            <w:tcW w:w="83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7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221</w:t>
            </w:r>
          </w:p>
        </w:tc>
        <w:tc>
          <w:tcPr>
            <w:tcW w:w="45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住房保障支出</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3.00 </w:t>
            </w:r>
          </w:p>
        </w:tc>
        <w:tc>
          <w:tcPr>
            <w:tcW w:w="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3.00 </w:t>
            </w:r>
          </w:p>
        </w:tc>
        <w:tc>
          <w:tcPr>
            <w:tcW w:w="1011"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p>
        </w:tc>
        <w:tc>
          <w:tcPr>
            <w:tcW w:w="771"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p>
        </w:tc>
        <w:tc>
          <w:tcPr>
            <w:tcW w:w="1303"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p>
        </w:tc>
        <w:tc>
          <w:tcPr>
            <w:tcW w:w="180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p>
        </w:tc>
        <w:tc>
          <w:tcPr>
            <w:tcW w:w="83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7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22102</w:t>
            </w:r>
          </w:p>
        </w:tc>
        <w:tc>
          <w:tcPr>
            <w:tcW w:w="45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住房改革支出</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3.00 </w:t>
            </w:r>
          </w:p>
        </w:tc>
        <w:tc>
          <w:tcPr>
            <w:tcW w:w="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3.00 </w:t>
            </w:r>
          </w:p>
        </w:tc>
        <w:tc>
          <w:tcPr>
            <w:tcW w:w="1011"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p>
        </w:tc>
        <w:tc>
          <w:tcPr>
            <w:tcW w:w="771"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p>
        </w:tc>
        <w:tc>
          <w:tcPr>
            <w:tcW w:w="1303"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p>
        </w:tc>
        <w:tc>
          <w:tcPr>
            <w:tcW w:w="180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p>
        </w:tc>
        <w:tc>
          <w:tcPr>
            <w:tcW w:w="83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7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2210201</w:t>
            </w:r>
          </w:p>
        </w:tc>
        <w:tc>
          <w:tcPr>
            <w:tcW w:w="45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住房公积金</w:t>
            </w:r>
          </w:p>
        </w:tc>
        <w:tc>
          <w:tcPr>
            <w:tcW w:w="11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3.00 </w:t>
            </w:r>
          </w:p>
        </w:tc>
        <w:tc>
          <w:tcPr>
            <w:tcW w:w="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3.00 </w:t>
            </w:r>
          </w:p>
        </w:tc>
        <w:tc>
          <w:tcPr>
            <w:tcW w:w="1011"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p>
        </w:tc>
        <w:tc>
          <w:tcPr>
            <w:tcW w:w="771"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p>
        </w:tc>
        <w:tc>
          <w:tcPr>
            <w:tcW w:w="1303"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p>
        </w:tc>
        <w:tc>
          <w:tcPr>
            <w:tcW w:w="180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p>
        </w:tc>
        <w:tc>
          <w:tcPr>
            <w:tcW w:w="83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default" w:ascii="Times New Roman" w:hAnsi="Times New Roman" w:cs="Times New Roman"/>
                <w:color w:val="000000"/>
                <w:kern w:val="0"/>
                <w:sz w:val="22"/>
                <w:szCs w:val="22"/>
              </w:rPr>
            </w:pPr>
          </w:p>
        </w:tc>
      </w:tr>
    </w:tbl>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w:t>注：本表反映</w:t>
      </w:r>
      <w:r>
        <w:rPr>
          <w:rFonts w:hint="eastAsia" w:cs="Times New Roman"/>
          <w:lang w:eastAsia="zh-CN"/>
        </w:rPr>
        <w:t>单位</w:t>
      </w:r>
      <w:r>
        <w:rPr>
          <w:rFonts w:hint="default" w:ascii="Times New Roman" w:hAnsi="Times New Roman" w:cs="Times New Roman"/>
        </w:rPr>
        <w:t>本年度取得的各项收入情况。</w:t>
      </w:r>
    </w:p>
    <w:p>
      <w:pPr>
        <w:rPr>
          <w:rFonts w:hint="default" w:ascii="Times New Roman" w:hAnsi="Times New Roman" w:cs="Times New Roman"/>
        </w:rPr>
      </w:pPr>
    </w:p>
    <w:p>
      <w:pPr>
        <w:rPr>
          <w:rFonts w:hint="default" w:ascii="Times New Roman" w:hAnsi="Times New Roman" w:cs="Times New Roman"/>
        </w:rPr>
      </w:pPr>
    </w:p>
    <w:p>
      <w:pPr>
        <w:jc w:val="center"/>
        <w:rPr>
          <w:rFonts w:hint="default" w:ascii="Times New Roman" w:hAnsi="Times New Roman" w:cs="Times New Roman"/>
        </w:rPr>
      </w:pPr>
      <w:r>
        <w:rPr>
          <w:rFonts w:hint="default" w:ascii="Times New Roman" w:hAnsi="Times New Roman" w:eastAsia="方正小标宋简体" w:cs="Times New Roman"/>
          <w:kern w:val="0"/>
          <w:sz w:val="36"/>
          <w:szCs w:val="36"/>
        </w:rPr>
        <w:t>表三：支出决算表</w:t>
      </w:r>
    </w:p>
    <w:p>
      <w:pPr>
        <w:jc w:val="right"/>
        <w:rPr>
          <w:rFonts w:hint="default" w:ascii="Times New Roman" w:hAnsi="Times New Roman" w:cs="Times New Roman"/>
        </w:rPr>
      </w:pPr>
      <w:r>
        <w:rPr>
          <w:rFonts w:hint="default" w:ascii="Times New Roman" w:hAnsi="Times New Roman" w:cs="Times New Roman"/>
          <w:sz w:val="22"/>
          <w:szCs w:val="22"/>
        </w:rPr>
        <w:t>单位：万元</w:t>
      </w:r>
    </w:p>
    <w:tbl>
      <w:tblPr>
        <w:tblStyle w:val="6"/>
        <w:tblW w:w="14049" w:type="dxa"/>
        <w:jc w:val="center"/>
        <w:tblLayout w:type="fixed"/>
        <w:tblCellMar>
          <w:top w:w="0" w:type="dxa"/>
          <w:left w:w="108" w:type="dxa"/>
          <w:bottom w:w="0" w:type="dxa"/>
          <w:right w:w="108" w:type="dxa"/>
        </w:tblCellMar>
      </w:tblPr>
      <w:tblGrid>
        <w:gridCol w:w="2114"/>
        <w:gridCol w:w="4459"/>
        <w:gridCol w:w="1369"/>
        <w:gridCol w:w="1123"/>
        <w:gridCol w:w="1246"/>
        <w:gridCol w:w="1625"/>
        <w:gridCol w:w="867"/>
        <w:gridCol w:w="1246"/>
      </w:tblGrid>
      <w:tr>
        <w:tblPrEx>
          <w:tblCellMar>
            <w:top w:w="0" w:type="dxa"/>
            <w:left w:w="108" w:type="dxa"/>
            <w:bottom w:w="0" w:type="dxa"/>
            <w:right w:w="108" w:type="dxa"/>
          </w:tblCellMar>
        </w:tblPrEx>
        <w:trPr>
          <w:trHeight w:val="289" w:hRule="atLeast"/>
          <w:jc w:val="center"/>
        </w:trPr>
        <w:tc>
          <w:tcPr>
            <w:tcW w:w="657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支出功能项 目</w:t>
            </w:r>
          </w:p>
        </w:tc>
        <w:tc>
          <w:tcPr>
            <w:tcW w:w="136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本年支出合计</w:t>
            </w:r>
          </w:p>
        </w:tc>
        <w:tc>
          <w:tcPr>
            <w:tcW w:w="112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基本支出</w:t>
            </w:r>
          </w:p>
        </w:tc>
        <w:tc>
          <w:tcPr>
            <w:tcW w:w="124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项目支出</w:t>
            </w:r>
          </w:p>
        </w:tc>
        <w:tc>
          <w:tcPr>
            <w:tcW w:w="162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上缴上级支出</w:t>
            </w:r>
          </w:p>
        </w:tc>
        <w:tc>
          <w:tcPr>
            <w:tcW w:w="8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经营支出</w:t>
            </w:r>
          </w:p>
        </w:tc>
        <w:tc>
          <w:tcPr>
            <w:tcW w:w="124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对附属单位补助支出</w:t>
            </w:r>
          </w:p>
        </w:tc>
      </w:tr>
      <w:tr>
        <w:tblPrEx>
          <w:tblCellMar>
            <w:top w:w="0" w:type="dxa"/>
            <w:left w:w="108" w:type="dxa"/>
            <w:bottom w:w="0" w:type="dxa"/>
            <w:right w:w="108" w:type="dxa"/>
          </w:tblCellMar>
        </w:tblPrEx>
        <w:trPr>
          <w:trHeight w:val="289" w:hRule="atLeast"/>
          <w:jc w:val="center"/>
        </w:trPr>
        <w:tc>
          <w:tcPr>
            <w:tcW w:w="2114"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支出功能分类</w:t>
            </w:r>
            <w:r>
              <w:rPr>
                <w:rFonts w:hint="default" w:ascii="Times New Roman" w:hAnsi="Times New Roman" w:cs="Times New Roman"/>
                <w:kern w:val="0"/>
                <w:sz w:val="22"/>
                <w:szCs w:val="22"/>
                <w:lang w:val="en-US" w:eastAsia="zh-CN"/>
              </w:rPr>
              <w:t xml:space="preserve">        </w:t>
            </w:r>
            <w:r>
              <w:rPr>
                <w:rFonts w:hint="default" w:ascii="Times New Roman" w:hAnsi="Times New Roman" w:cs="Times New Roman"/>
                <w:kern w:val="0"/>
                <w:sz w:val="22"/>
                <w:szCs w:val="22"/>
              </w:rPr>
              <w:t>科目编码</w:t>
            </w:r>
          </w:p>
        </w:tc>
        <w:tc>
          <w:tcPr>
            <w:tcW w:w="4459"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科目名称</w:t>
            </w:r>
          </w:p>
        </w:tc>
        <w:tc>
          <w:tcPr>
            <w:tcW w:w="13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2"/>
                <w:szCs w:val="22"/>
              </w:rPr>
            </w:pPr>
          </w:p>
        </w:tc>
        <w:tc>
          <w:tcPr>
            <w:tcW w:w="11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rPr>
            </w:pPr>
          </w:p>
        </w:tc>
        <w:tc>
          <w:tcPr>
            <w:tcW w:w="12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rPr>
            </w:pPr>
          </w:p>
        </w:tc>
        <w:tc>
          <w:tcPr>
            <w:tcW w:w="16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2"/>
                <w:szCs w:val="22"/>
              </w:rPr>
            </w:pPr>
          </w:p>
        </w:tc>
        <w:tc>
          <w:tcPr>
            <w:tcW w:w="8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rPr>
            </w:pPr>
          </w:p>
        </w:tc>
        <w:tc>
          <w:tcPr>
            <w:tcW w:w="12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2"/>
                <w:szCs w:val="22"/>
              </w:rPr>
            </w:pPr>
          </w:p>
        </w:tc>
      </w:tr>
      <w:tr>
        <w:tblPrEx>
          <w:tblCellMar>
            <w:top w:w="0" w:type="dxa"/>
            <w:left w:w="108" w:type="dxa"/>
            <w:bottom w:w="0" w:type="dxa"/>
            <w:right w:w="108" w:type="dxa"/>
          </w:tblCellMar>
        </w:tblPrEx>
        <w:trPr>
          <w:trHeight w:val="289" w:hRule="atLeast"/>
          <w:jc w:val="center"/>
        </w:trPr>
        <w:tc>
          <w:tcPr>
            <w:tcW w:w="6573"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栏次</w:t>
            </w:r>
          </w:p>
        </w:tc>
        <w:tc>
          <w:tcPr>
            <w:tcW w:w="1369" w:type="dxa"/>
            <w:tcBorders>
              <w:top w:val="nil"/>
              <w:left w:val="nil"/>
              <w:bottom w:val="single" w:color="auto" w:sz="4" w:space="0"/>
              <w:right w:val="single" w:color="auto" w:sz="4" w:space="0"/>
            </w:tcBorders>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kern w:val="0"/>
                <w:sz w:val="21"/>
                <w:szCs w:val="21"/>
              </w:rPr>
              <w:t>1</w:t>
            </w:r>
          </w:p>
        </w:tc>
        <w:tc>
          <w:tcPr>
            <w:tcW w:w="1123" w:type="dxa"/>
            <w:tcBorders>
              <w:top w:val="nil"/>
              <w:left w:val="nil"/>
              <w:bottom w:val="single" w:color="auto" w:sz="4" w:space="0"/>
              <w:right w:val="single" w:color="auto" w:sz="4" w:space="0"/>
            </w:tcBorders>
          </w:tcPr>
          <w:p>
            <w:pPr>
              <w:widowControl/>
              <w:ind w:firstLine="840" w:firstLineChars="400"/>
              <w:jc w:val="center"/>
              <w:rPr>
                <w:rFonts w:hint="default" w:ascii="Times New Roman" w:hAnsi="Times New Roman" w:cs="Times New Roman"/>
                <w:color w:val="000000"/>
                <w:kern w:val="0"/>
                <w:sz w:val="21"/>
                <w:szCs w:val="21"/>
              </w:rPr>
            </w:pPr>
            <w:r>
              <w:rPr>
                <w:rFonts w:hint="default" w:ascii="Times New Roman" w:hAnsi="Times New Roman" w:cs="Times New Roman"/>
                <w:kern w:val="0"/>
                <w:sz w:val="21"/>
                <w:szCs w:val="21"/>
              </w:rPr>
              <w:t>2</w:t>
            </w:r>
          </w:p>
        </w:tc>
        <w:tc>
          <w:tcPr>
            <w:tcW w:w="1246" w:type="dxa"/>
            <w:tcBorders>
              <w:top w:val="nil"/>
              <w:left w:val="nil"/>
              <w:bottom w:val="single" w:color="auto" w:sz="4" w:space="0"/>
              <w:right w:val="single" w:color="auto" w:sz="4" w:space="0"/>
            </w:tcBorders>
          </w:tcPr>
          <w:p>
            <w:pPr>
              <w:widowControl/>
              <w:ind w:firstLine="840" w:firstLineChars="400"/>
              <w:jc w:val="center"/>
              <w:rPr>
                <w:rFonts w:hint="default" w:ascii="Times New Roman" w:hAnsi="Times New Roman" w:cs="Times New Roman"/>
                <w:color w:val="000000"/>
                <w:kern w:val="0"/>
                <w:sz w:val="21"/>
                <w:szCs w:val="21"/>
              </w:rPr>
            </w:pPr>
            <w:r>
              <w:rPr>
                <w:rFonts w:hint="default" w:ascii="Times New Roman" w:hAnsi="Times New Roman" w:cs="Times New Roman"/>
                <w:kern w:val="0"/>
                <w:sz w:val="21"/>
                <w:szCs w:val="21"/>
              </w:rPr>
              <w:t>3</w:t>
            </w:r>
          </w:p>
        </w:tc>
        <w:tc>
          <w:tcPr>
            <w:tcW w:w="1625" w:type="dxa"/>
            <w:tcBorders>
              <w:top w:val="nil"/>
              <w:left w:val="nil"/>
              <w:bottom w:val="single" w:color="auto" w:sz="4" w:space="0"/>
              <w:right w:val="single" w:color="auto" w:sz="4" w:space="0"/>
            </w:tcBorders>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kern w:val="0"/>
                <w:sz w:val="21"/>
                <w:szCs w:val="21"/>
              </w:rPr>
              <w:t>4</w:t>
            </w:r>
          </w:p>
        </w:tc>
        <w:tc>
          <w:tcPr>
            <w:tcW w:w="867" w:type="dxa"/>
            <w:tcBorders>
              <w:top w:val="nil"/>
              <w:left w:val="nil"/>
              <w:bottom w:val="single" w:color="auto" w:sz="4" w:space="0"/>
              <w:right w:val="single" w:color="auto" w:sz="4" w:space="0"/>
            </w:tcBorders>
          </w:tcPr>
          <w:p>
            <w:pPr>
              <w:widowControl/>
              <w:tabs>
                <w:tab w:val="right" w:pos="-229"/>
              </w:tabs>
              <w:jc w:val="center"/>
              <w:rPr>
                <w:rFonts w:hint="default" w:ascii="Times New Roman" w:hAnsi="Times New Roman" w:cs="Times New Roman"/>
                <w:color w:val="000000"/>
                <w:kern w:val="0"/>
                <w:sz w:val="21"/>
                <w:szCs w:val="21"/>
              </w:rPr>
            </w:pPr>
            <w:r>
              <w:rPr>
                <w:rFonts w:hint="default" w:ascii="Times New Roman" w:hAnsi="Times New Roman" w:cs="Times New Roman"/>
                <w:kern w:val="0"/>
                <w:sz w:val="21"/>
                <w:szCs w:val="21"/>
              </w:rPr>
              <w:t>5</w:t>
            </w:r>
          </w:p>
        </w:tc>
        <w:tc>
          <w:tcPr>
            <w:tcW w:w="1246" w:type="dxa"/>
            <w:tcBorders>
              <w:top w:val="nil"/>
              <w:left w:val="nil"/>
              <w:bottom w:val="single" w:color="auto" w:sz="4" w:space="0"/>
              <w:right w:val="single" w:color="auto" w:sz="4" w:space="0"/>
            </w:tcBorders>
          </w:tcPr>
          <w:p>
            <w:pPr>
              <w:widowControl/>
              <w:ind w:firstLine="840" w:firstLineChars="400"/>
              <w:jc w:val="center"/>
              <w:rPr>
                <w:rFonts w:hint="default" w:ascii="Times New Roman" w:hAnsi="Times New Roman" w:cs="Times New Roman"/>
                <w:color w:val="000000"/>
                <w:kern w:val="0"/>
                <w:sz w:val="21"/>
                <w:szCs w:val="21"/>
              </w:rPr>
            </w:pPr>
            <w:r>
              <w:rPr>
                <w:rFonts w:hint="default" w:ascii="Times New Roman" w:hAnsi="Times New Roman" w:cs="Times New Roman"/>
                <w:kern w:val="0"/>
                <w:sz w:val="21"/>
                <w:szCs w:val="21"/>
              </w:rPr>
              <w:t>6</w:t>
            </w:r>
          </w:p>
        </w:tc>
      </w:tr>
      <w:tr>
        <w:tblPrEx>
          <w:tblCellMar>
            <w:top w:w="0" w:type="dxa"/>
            <w:left w:w="108" w:type="dxa"/>
            <w:bottom w:w="0" w:type="dxa"/>
            <w:right w:w="108" w:type="dxa"/>
          </w:tblCellMar>
        </w:tblPrEx>
        <w:trPr>
          <w:trHeight w:val="289" w:hRule="atLeast"/>
          <w:jc w:val="center"/>
        </w:trPr>
        <w:tc>
          <w:tcPr>
            <w:tcW w:w="6573"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合计</w:t>
            </w:r>
          </w:p>
        </w:tc>
        <w:tc>
          <w:tcPr>
            <w:tcW w:w="1369"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58.54</w:t>
            </w:r>
          </w:p>
        </w:tc>
        <w:tc>
          <w:tcPr>
            <w:tcW w:w="1123"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30.17</w:t>
            </w:r>
          </w:p>
        </w:tc>
        <w:tc>
          <w:tcPr>
            <w:tcW w:w="1246"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28.37</w:t>
            </w:r>
          </w:p>
        </w:tc>
        <w:tc>
          <w:tcPr>
            <w:tcW w:w="1625" w:type="dxa"/>
            <w:tcBorders>
              <w:top w:val="nil"/>
              <w:left w:val="nil"/>
              <w:bottom w:val="single" w:color="auto" w:sz="4" w:space="0"/>
              <w:right w:val="single" w:color="auto" w:sz="4" w:space="0"/>
            </w:tcBorders>
          </w:tcPr>
          <w:p>
            <w:pPr>
              <w:widowControl/>
              <w:ind w:firstLine="420" w:firstLineChars="200"/>
              <w:jc w:val="center"/>
              <w:rPr>
                <w:rFonts w:hint="default" w:ascii="Times New Roman" w:hAnsi="Times New Roman" w:cs="Times New Roman"/>
                <w:color w:val="000000"/>
                <w:kern w:val="0"/>
                <w:sz w:val="21"/>
                <w:szCs w:val="21"/>
              </w:rPr>
            </w:pPr>
          </w:p>
        </w:tc>
        <w:tc>
          <w:tcPr>
            <w:tcW w:w="867" w:type="dxa"/>
            <w:tcBorders>
              <w:top w:val="nil"/>
              <w:left w:val="nil"/>
              <w:bottom w:val="single" w:color="auto" w:sz="4" w:space="0"/>
              <w:right w:val="single" w:color="auto" w:sz="4" w:space="0"/>
            </w:tcBorders>
          </w:tcPr>
          <w:p>
            <w:pPr>
              <w:widowControl/>
              <w:ind w:firstLine="840" w:firstLineChars="400"/>
              <w:jc w:val="center"/>
              <w:rPr>
                <w:rFonts w:hint="default" w:ascii="Times New Roman" w:hAnsi="Times New Roman" w:cs="Times New Roman"/>
                <w:color w:val="000000"/>
                <w:kern w:val="0"/>
                <w:sz w:val="21"/>
                <w:szCs w:val="21"/>
              </w:rPr>
            </w:pPr>
          </w:p>
        </w:tc>
        <w:tc>
          <w:tcPr>
            <w:tcW w:w="1246" w:type="dxa"/>
            <w:tcBorders>
              <w:top w:val="nil"/>
              <w:left w:val="nil"/>
              <w:bottom w:val="single" w:color="auto" w:sz="4" w:space="0"/>
              <w:right w:val="single" w:color="auto" w:sz="4" w:space="0"/>
            </w:tcBorders>
          </w:tcPr>
          <w:p>
            <w:pPr>
              <w:widowControl/>
              <w:ind w:firstLine="210" w:firstLineChars="100"/>
              <w:jc w:val="center"/>
              <w:rPr>
                <w:rFonts w:hint="default" w:ascii="Times New Roman" w:hAnsi="Times New Roman" w:cs="Times New Roman"/>
                <w:color w:val="000000"/>
                <w:kern w:val="0"/>
                <w:sz w:val="21"/>
                <w:szCs w:val="21"/>
              </w:rPr>
            </w:pPr>
          </w:p>
        </w:tc>
      </w:tr>
      <w:tr>
        <w:tblPrEx>
          <w:tblCellMar>
            <w:top w:w="0" w:type="dxa"/>
            <w:left w:w="108" w:type="dxa"/>
            <w:bottom w:w="0" w:type="dxa"/>
            <w:right w:w="108" w:type="dxa"/>
          </w:tblCellMar>
        </w:tblPrEx>
        <w:trPr>
          <w:trHeight w:val="289" w:hRule="atLeast"/>
          <w:jc w:val="center"/>
        </w:trPr>
        <w:tc>
          <w:tcPr>
            <w:tcW w:w="21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201</w:t>
            </w:r>
          </w:p>
        </w:tc>
        <w:tc>
          <w:tcPr>
            <w:tcW w:w="44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一般公共服务支出</w:t>
            </w:r>
          </w:p>
        </w:tc>
        <w:tc>
          <w:tcPr>
            <w:tcW w:w="136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49.55</w:t>
            </w:r>
          </w:p>
        </w:tc>
        <w:tc>
          <w:tcPr>
            <w:tcW w:w="112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21.17</w:t>
            </w:r>
          </w:p>
        </w:tc>
        <w:tc>
          <w:tcPr>
            <w:tcW w:w="124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28.37</w:t>
            </w:r>
          </w:p>
        </w:tc>
        <w:tc>
          <w:tcPr>
            <w:tcW w:w="1625" w:type="dxa"/>
            <w:tcBorders>
              <w:top w:val="single" w:color="auto" w:sz="4" w:space="0"/>
              <w:left w:val="single" w:color="auto" w:sz="4" w:space="0"/>
              <w:bottom w:val="single" w:color="auto" w:sz="4" w:space="0"/>
              <w:right w:val="single" w:color="auto" w:sz="4" w:space="0"/>
            </w:tcBorders>
          </w:tcPr>
          <w:p>
            <w:pPr>
              <w:widowControl/>
              <w:ind w:firstLine="420" w:firstLineChars="200"/>
              <w:jc w:val="center"/>
              <w:rPr>
                <w:rFonts w:hint="default" w:ascii="Times New Roman" w:hAnsi="Times New Roman" w:cs="Times New Roman"/>
                <w:color w:val="000000"/>
                <w:kern w:val="0"/>
                <w:sz w:val="21"/>
                <w:szCs w:val="21"/>
              </w:rPr>
            </w:pPr>
          </w:p>
        </w:tc>
        <w:tc>
          <w:tcPr>
            <w:tcW w:w="867" w:type="dxa"/>
            <w:tcBorders>
              <w:top w:val="single" w:color="auto" w:sz="4" w:space="0"/>
              <w:left w:val="single" w:color="auto" w:sz="4" w:space="0"/>
              <w:bottom w:val="single" w:color="auto" w:sz="4" w:space="0"/>
              <w:right w:val="single" w:color="auto" w:sz="4" w:space="0"/>
            </w:tcBorders>
          </w:tcPr>
          <w:p>
            <w:pPr>
              <w:widowControl/>
              <w:ind w:firstLine="420" w:firstLineChars="200"/>
              <w:jc w:val="center"/>
              <w:rPr>
                <w:rFonts w:hint="default" w:ascii="Times New Roman" w:hAnsi="Times New Roman" w:cs="Times New Roman"/>
                <w:color w:val="000000"/>
                <w:kern w:val="0"/>
                <w:sz w:val="21"/>
                <w:szCs w:val="21"/>
              </w:rPr>
            </w:pPr>
          </w:p>
        </w:tc>
        <w:tc>
          <w:tcPr>
            <w:tcW w:w="1246" w:type="dxa"/>
            <w:tcBorders>
              <w:top w:val="single" w:color="auto" w:sz="4" w:space="0"/>
              <w:left w:val="single" w:color="auto" w:sz="4" w:space="0"/>
              <w:bottom w:val="single" w:color="auto" w:sz="4" w:space="0"/>
              <w:right w:val="single" w:color="auto" w:sz="4" w:space="0"/>
            </w:tcBorders>
          </w:tcPr>
          <w:p>
            <w:pPr>
              <w:widowControl/>
              <w:ind w:firstLine="210" w:firstLineChars="100"/>
              <w:jc w:val="center"/>
              <w:rPr>
                <w:rFonts w:hint="default" w:ascii="Times New Roman" w:hAnsi="Times New Roman" w:cs="Times New Roman"/>
                <w:color w:val="000000"/>
                <w:kern w:val="0"/>
                <w:sz w:val="21"/>
                <w:szCs w:val="21"/>
              </w:rPr>
            </w:pPr>
          </w:p>
        </w:tc>
      </w:tr>
      <w:tr>
        <w:tblPrEx>
          <w:tblCellMar>
            <w:top w:w="0" w:type="dxa"/>
            <w:left w:w="108" w:type="dxa"/>
            <w:bottom w:w="0" w:type="dxa"/>
            <w:right w:w="108" w:type="dxa"/>
          </w:tblCellMar>
        </w:tblPrEx>
        <w:trPr>
          <w:trHeight w:val="289" w:hRule="atLeast"/>
          <w:jc w:val="center"/>
        </w:trPr>
        <w:tc>
          <w:tcPr>
            <w:tcW w:w="21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20131</w:t>
            </w:r>
          </w:p>
        </w:tc>
        <w:tc>
          <w:tcPr>
            <w:tcW w:w="44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党委办公厅（室）及相关机构事务</w:t>
            </w:r>
          </w:p>
        </w:tc>
        <w:tc>
          <w:tcPr>
            <w:tcW w:w="136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48.46</w:t>
            </w:r>
          </w:p>
        </w:tc>
        <w:tc>
          <w:tcPr>
            <w:tcW w:w="112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20.09</w:t>
            </w:r>
          </w:p>
        </w:tc>
        <w:tc>
          <w:tcPr>
            <w:tcW w:w="124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28.37</w:t>
            </w:r>
          </w:p>
        </w:tc>
        <w:tc>
          <w:tcPr>
            <w:tcW w:w="1625" w:type="dxa"/>
            <w:tcBorders>
              <w:top w:val="single" w:color="auto" w:sz="4" w:space="0"/>
              <w:left w:val="single" w:color="auto" w:sz="4" w:space="0"/>
              <w:bottom w:val="single" w:color="auto" w:sz="4" w:space="0"/>
              <w:right w:val="single" w:color="auto" w:sz="4" w:space="0"/>
            </w:tcBorders>
          </w:tcPr>
          <w:p>
            <w:pPr>
              <w:widowControl/>
              <w:ind w:firstLine="420" w:firstLineChars="200"/>
              <w:jc w:val="center"/>
              <w:rPr>
                <w:rFonts w:hint="default" w:ascii="Times New Roman" w:hAnsi="Times New Roman" w:cs="Times New Roman"/>
                <w:color w:val="000000"/>
                <w:kern w:val="0"/>
                <w:sz w:val="21"/>
                <w:szCs w:val="21"/>
              </w:rPr>
            </w:pPr>
          </w:p>
        </w:tc>
        <w:tc>
          <w:tcPr>
            <w:tcW w:w="867" w:type="dxa"/>
            <w:tcBorders>
              <w:top w:val="single" w:color="auto" w:sz="4" w:space="0"/>
              <w:left w:val="single" w:color="auto" w:sz="4" w:space="0"/>
              <w:bottom w:val="single" w:color="auto" w:sz="4" w:space="0"/>
              <w:right w:val="single" w:color="auto" w:sz="4" w:space="0"/>
            </w:tcBorders>
          </w:tcPr>
          <w:p>
            <w:pPr>
              <w:widowControl/>
              <w:ind w:firstLine="420" w:firstLineChars="200"/>
              <w:jc w:val="center"/>
              <w:rPr>
                <w:rFonts w:hint="default" w:ascii="Times New Roman" w:hAnsi="Times New Roman" w:cs="Times New Roman"/>
                <w:color w:val="000000"/>
                <w:kern w:val="0"/>
                <w:sz w:val="21"/>
                <w:szCs w:val="21"/>
              </w:rPr>
            </w:pPr>
          </w:p>
        </w:tc>
        <w:tc>
          <w:tcPr>
            <w:tcW w:w="1246" w:type="dxa"/>
            <w:tcBorders>
              <w:top w:val="single" w:color="auto" w:sz="4" w:space="0"/>
              <w:left w:val="single" w:color="auto" w:sz="4" w:space="0"/>
              <w:bottom w:val="single" w:color="auto" w:sz="4" w:space="0"/>
              <w:right w:val="single" w:color="auto" w:sz="4" w:space="0"/>
            </w:tcBorders>
          </w:tcPr>
          <w:p>
            <w:pPr>
              <w:widowControl/>
              <w:ind w:firstLine="210" w:firstLineChars="100"/>
              <w:jc w:val="center"/>
              <w:rPr>
                <w:rFonts w:hint="default" w:ascii="Times New Roman" w:hAnsi="Times New Roman" w:cs="Times New Roman"/>
                <w:color w:val="000000"/>
                <w:kern w:val="0"/>
                <w:sz w:val="21"/>
                <w:szCs w:val="21"/>
              </w:rPr>
            </w:pPr>
          </w:p>
        </w:tc>
      </w:tr>
      <w:tr>
        <w:tblPrEx>
          <w:tblCellMar>
            <w:top w:w="0" w:type="dxa"/>
            <w:left w:w="108" w:type="dxa"/>
            <w:bottom w:w="0" w:type="dxa"/>
            <w:right w:w="108" w:type="dxa"/>
          </w:tblCellMar>
        </w:tblPrEx>
        <w:trPr>
          <w:trHeight w:val="289" w:hRule="atLeast"/>
          <w:jc w:val="center"/>
        </w:trPr>
        <w:tc>
          <w:tcPr>
            <w:tcW w:w="21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2013101</w:t>
            </w:r>
          </w:p>
        </w:tc>
        <w:tc>
          <w:tcPr>
            <w:tcW w:w="44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行政运行</w:t>
            </w:r>
          </w:p>
        </w:tc>
        <w:tc>
          <w:tcPr>
            <w:tcW w:w="136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20.09</w:t>
            </w:r>
          </w:p>
        </w:tc>
        <w:tc>
          <w:tcPr>
            <w:tcW w:w="112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20.09</w:t>
            </w:r>
          </w:p>
        </w:tc>
        <w:tc>
          <w:tcPr>
            <w:tcW w:w="124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625" w:type="dxa"/>
            <w:tcBorders>
              <w:top w:val="single" w:color="auto" w:sz="4" w:space="0"/>
              <w:left w:val="single" w:color="auto" w:sz="4" w:space="0"/>
              <w:bottom w:val="single" w:color="auto" w:sz="4" w:space="0"/>
              <w:right w:val="single" w:color="auto" w:sz="4" w:space="0"/>
            </w:tcBorders>
          </w:tcPr>
          <w:p>
            <w:pPr>
              <w:widowControl/>
              <w:ind w:firstLine="420" w:firstLineChars="200"/>
              <w:jc w:val="center"/>
              <w:rPr>
                <w:rFonts w:hint="default" w:ascii="Times New Roman" w:hAnsi="Times New Roman" w:cs="Times New Roman"/>
                <w:color w:val="000000"/>
                <w:kern w:val="0"/>
                <w:sz w:val="21"/>
                <w:szCs w:val="21"/>
              </w:rPr>
            </w:pPr>
          </w:p>
        </w:tc>
        <w:tc>
          <w:tcPr>
            <w:tcW w:w="867" w:type="dxa"/>
            <w:tcBorders>
              <w:top w:val="single" w:color="auto" w:sz="4" w:space="0"/>
              <w:left w:val="single" w:color="auto" w:sz="4" w:space="0"/>
              <w:bottom w:val="single" w:color="auto" w:sz="4" w:space="0"/>
              <w:right w:val="single" w:color="auto" w:sz="4" w:space="0"/>
            </w:tcBorders>
          </w:tcPr>
          <w:p>
            <w:pPr>
              <w:widowControl/>
              <w:ind w:firstLine="420" w:firstLineChars="200"/>
              <w:jc w:val="center"/>
              <w:rPr>
                <w:rFonts w:hint="default" w:ascii="Times New Roman" w:hAnsi="Times New Roman" w:cs="Times New Roman"/>
                <w:color w:val="000000"/>
                <w:kern w:val="0"/>
                <w:sz w:val="21"/>
                <w:szCs w:val="21"/>
              </w:rPr>
            </w:pPr>
          </w:p>
        </w:tc>
        <w:tc>
          <w:tcPr>
            <w:tcW w:w="1246" w:type="dxa"/>
            <w:tcBorders>
              <w:top w:val="single" w:color="auto" w:sz="4" w:space="0"/>
              <w:left w:val="single" w:color="auto" w:sz="4" w:space="0"/>
              <w:bottom w:val="single" w:color="auto" w:sz="4" w:space="0"/>
              <w:right w:val="single" w:color="auto" w:sz="4" w:space="0"/>
            </w:tcBorders>
          </w:tcPr>
          <w:p>
            <w:pPr>
              <w:widowControl/>
              <w:ind w:firstLine="210" w:firstLineChars="100"/>
              <w:jc w:val="center"/>
              <w:rPr>
                <w:rFonts w:hint="default" w:ascii="Times New Roman" w:hAnsi="Times New Roman" w:cs="Times New Roman"/>
                <w:color w:val="000000"/>
                <w:kern w:val="0"/>
                <w:sz w:val="21"/>
                <w:szCs w:val="21"/>
              </w:rPr>
            </w:pPr>
          </w:p>
        </w:tc>
      </w:tr>
      <w:tr>
        <w:tblPrEx>
          <w:tblCellMar>
            <w:top w:w="0" w:type="dxa"/>
            <w:left w:w="108" w:type="dxa"/>
            <w:bottom w:w="0" w:type="dxa"/>
            <w:right w:w="108" w:type="dxa"/>
          </w:tblCellMar>
        </w:tblPrEx>
        <w:trPr>
          <w:trHeight w:val="289" w:hRule="atLeast"/>
          <w:jc w:val="center"/>
        </w:trPr>
        <w:tc>
          <w:tcPr>
            <w:tcW w:w="21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2013199</w:t>
            </w:r>
          </w:p>
        </w:tc>
        <w:tc>
          <w:tcPr>
            <w:tcW w:w="44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其他党委办公厅（室）及相关机构事务支出</w:t>
            </w:r>
          </w:p>
        </w:tc>
        <w:tc>
          <w:tcPr>
            <w:tcW w:w="136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28.37</w:t>
            </w:r>
          </w:p>
        </w:tc>
        <w:tc>
          <w:tcPr>
            <w:tcW w:w="112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24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28.37</w:t>
            </w:r>
          </w:p>
        </w:tc>
        <w:tc>
          <w:tcPr>
            <w:tcW w:w="1625" w:type="dxa"/>
            <w:tcBorders>
              <w:top w:val="single" w:color="auto" w:sz="4" w:space="0"/>
              <w:left w:val="single" w:color="auto" w:sz="4" w:space="0"/>
              <w:bottom w:val="single" w:color="auto" w:sz="4" w:space="0"/>
              <w:right w:val="single" w:color="auto" w:sz="4" w:space="0"/>
            </w:tcBorders>
          </w:tcPr>
          <w:p>
            <w:pPr>
              <w:widowControl/>
              <w:ind w:firstLine="420" w:firstLineChars="200"/>
              <w:jc w:val="center"/>
              <w:rPr>
                <w:rFonts w:hint="default" w:ascii="Times New Roman" w:hAnsi="Times New Roman" w:cs="Times New Roman"/>
                <w:color w:val="000000"/>
                <w:kern w:val="0"/>
                <w:sz w:val="21"/>
                <w:szCs w:val="21"/>
              </w:rPr>
            </w:pPr>
          </w:p>
        </w:tc>
        <w:tc>
          <w:tcPr>
            <w:tcW w:w="867" w:type="dxa"/>
            <w:tcBorders>
              <w:top w:val="single" w:color="auto" w:sz="4" w:space="0"/>
              <w:left w:val="single" w:color="auto" w:sz="4" w:space="0"/>
              <w:bottom w:val="single" w:color="auto" w:sz="4" w:space="0"/>
              <w:right w:val="single" w:color="auto" w:sz="4" w:space="0"/>
            </w:tcBorders>
          </w:tcPr>
          <w:p>
            <w:pPr>
              <w:widowControl/>
              <w:ind w:firstLine="420" w:firstLineChars="200"/>
              <w:jc w:val="center"/>
              <w:rPr>
                <w:rFonts w:hint="default" w:ascii="Times New Roman" w:hAnsi="Times New Roman" w:cs="Times New Roman"/>
                <w:color w:val="000000"/>
                <w:kern w:val="0"/>
                <w:sz w:val="21"/>
                <w:szCs w:val="21"/>
              </w:rPr>
            </w:pPr>
          </w:p>
        </w:tc>
        <w:tc>
          <w:tcPr>
            <w:tcW w:w="1246" w:type="dxa"/>
            <w:tcBorders>
              <w:top w:val="single" w:color="auto" w:sz="4" w:space="0"/>
              <w:left w:val="single" w:color="auto" w:sz="4" w:space="0"/>
              <w:bottom w:val="single" w:color="auto" w:sz="4" w:space="0"/>
              <w:right w:val="single" w:color="auto" w:sz="4" w:space="0"/>
            </w:tcBorders>
          </w:tcPr>
          <w:p>
            <w:pPr>
              <w:widowControl/>
              <w:ind w:firstLine="210" w:firstLineChars="100"/>
              <w:jc w:val="center"/>
              <w:rPr>
                <w:rFonts w:hint="default" w:ascii="Times New Roman" w:hAnsi="Times New Roman" w:cs="Times New Roman"/>
                <w:color w:val="000000"/>
                <w:kern w:val="0"/>
                <w:sz w:val="21"/>
                <w:szCs w:val="21"/>
              </w:rPr>
            </w:pPr>
          </w:p>
        </w:tc>
      </w:tr>
      <w:tr>
        <w:tblPrEx>
          <w:tblCellMar>
            <w:top w:w="0" w:type="dxa"/>
            <w:left w:w="108" w:type="dxa"/>
            <w:bottom w:w="0" w:type="dxa"/>
            <w:right w:w="108" w:type="dxa"/>
          </w:tblCellMar>
        </w:tblPrEx>
        <w:trPr>
          <w:trHeight w:val="289" w:hRule="atLeast"/>
          <w:jc w:val="center"/>
        </w:trPr>
        <w:tc>
          <w:tcPr>
            <w:tcW w:w="21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20137</w:t>
            </w:r>
          </w:p>
        </w:tc>
        <w:tc>
          <w:tcPr>
            <w:tcW w:w="44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网信事务</w:t>
            </w:r>
          </w:p>
        </w:tc>
        <w:tc>
          <w:tcPr>
            <w:tcW w:w="136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1.08</w:t>
            </w:r>
          </w:p>
        </w:tc>
        <w:tc>
          <w:tcPr>
            <w:tcW w:w="112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1.08</w:t>
            </w:r>
          </w:p>
        </w:tc>
        <w:tc>
          <w:tcPr>
            <w:tcW w:w="124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625" w:type="dxa"/>
            <w:tcBorders>
              <w:top w:val="single" w:color="auto" w:sz="4" w:space="0"/>
              <w:left w:val="single" w:color="auto" w:sz="4" w:space="0"/>
              <w:bottom w:val="single" w:color="auto" w:sz="4" w:space="0"/>
              <w:right w:val="single" w:color="auto" w:sz="4" w:space="0"/>
            </w:tcBorders>
          </w:tcPr>
          <w:p>
            <w:pPr>
              <w:widowControl/>
              <w:ind w:firstLine="420" w:firstLineChars="200"/>
              <w:jc w:val="center"/>
              <w:rPr>
                <w:rFonts w:hint="default" w:ascii="Times New Roman" w:hAnsi="Times New Roman" w:cs="Times New Roman"/>
                <w:color w:val="000000"/>
                <w:kern w:val="0"/>
                <w:sz w:val="21"/>
                <w:szCs w:val="21"/>
              </w:rPr>
            </w:pPr>
          </w:p>
        </w:tc>
        <w:tc>
          <w:tcPr>
            <w:tcW w:w="867" w:type="dxa"/>
            <w:tcBorders>
              <w:top w:val="single" w:color="auto" w:sz="4" w:space="0"/>
              <w:left w:val="single" w:color="auto" w:sz="4" w:space="0"/>
              <w:bottom w:val="single" w:color="auto" w:sz="4" w:space="0"/>
              <w:right w:val="single" w:color="auto" w:sz="4" w:space="0"/>
            </w:tcBorders>
          </w:tcPr>
          <w:p>
            <w:pPr>
              <w:widowControl/>
              <w:ind w:firstLine="420" w:firstLineChars="200"/>
              <w:jc w:val="center"/>
              <w:rPr>
                <w:rFonts w:hint="default" w:ascii="Times New Roman" w:hAnsi="Times New Roman" w:cs="Times New Roman"/>
                <w:color w:val="000000"/>
                <w:kern w:val="0"/>
                <w:sz w:val="21"/>
                <w:szCs w:val="21"/>
              </w:rPr>
            </w:pPr>
          </w:p>
        </w:tc>
        <w:tc>
          <w:tcPr>
            <w:tcW w:w="1246" w:type="dxa"/>
            <w:tcBorders>
              <w:top w:val="single" w:color="auto" w:sz="4" w:space="0"/>
              <w:left w:val="single" w:color="auto" w:sz="4" w:space="0"/>
              <w:bottom w:val="single" w:color="auto" w:sz="4" w:space="0"/>
              <w:right w:val="single" w:color="auto" w:sz="4" w:space="0"/>
            </w:tcBorders>
          </w:tcPr>
          <w:p>
            <w:pPr>
              <w:widowControl/>
              <w:ind w:firstLine="210" w:firstLineChars="100"/>
              <w:jc w:val="center"/>
              <w:rPr>
                <w:rFonts w:hint="default" w:ascii="Times New Roman" w:hAnsi="Times New Roman" w:cs="Times New Roman"/>
                <w:color w:val="000000"/>
                <w:kern w:val="0"/>
                <w:sz w:val="21"/>
                <w:szCs w:val="21"/>
              </w:rPr>
            </w:pPr>
          </w:p>
        </w:tc>
      </w:tr>
      <w:tr>
        <w:tblPrEx>
          <w:tblCellMar>
            <w:top w:w="0" w:type="dxa"/>
            <w:left w:w="108" w:type="dxa"/>
            <w:bottom w:w="0" w:type="dxa"/>
            <w:right w:w="108" w:type="dxa"/>
          </w:tblCellMar>
        </w:tblPrEx>
        <w:trPr>
          <w:trHeight w:val="289" w:hRule="atLeast"/>
          <w:jc w:val="center"/>
        </w:trPr>
        <w:tc>
          <w:tcPr>
            <w:tcW w:w="21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2013750</w:t>
            </w:r>
          </w:p>
        </w:tc>
        <w:tc>
          <w:tcPr>
            <w:tcW w:w="44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事业运行</w:t>
            </w:r>
          </w:p>
        </w:tc>
        <w:tc>
          <w:tcPr>
            <w:tcW w:w="136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1.08</w:t>
            </w:r>
          </w:p>
        </w:tc>
        <w:tc>
          <w:tcPr>
            <w:tcW w:w="112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1.08</w:t>
            </w:r>
          </w:p>
        </w:tc>
        <w:tc>
          <w:tcPr>
            <w:tcW w:w="124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625" w:type="dxa"/>
            <w:tcBorders>
              <w:top w:val="single" w:color="auto" w:sz="4" w:space="0"/>
              <w:left w:val="single" w:color="auto" w:sz="4" w:space="0"/>
              <w:bottom w:val="single" w:color="auto" w:sz="4" w:space="0"/>
              <w:right w:val="single" w:color="auto" w:sz="4" w:space="0"/>
            </w:tcBorders>
          </w:tcPr>
          <w:p>
            <w:pPr>
              <w:widowControl/>
              <w:ind w:firstLine="420" w:firstLineChars="200"/>
              <w:jc w:val="center"/>
              <w:rPr>
                <w:rFonts w:hint="default" w:ascii="Times New Roman" w:hAnsi="Times New Roman" w:cs="Times New Roman"/>
                <w:color w:val="000000"/>
                <w:kern w:val="0"/>
                <w:sz w:val="21"/>
                <w:szCs w:val="21"/>
              </w:rPr>
            </w:pPr>
          </w:p>
        </w:tc>
        <w:tc>
          <w:tcPr>
            <w:tcW w:w="867" w:type="dxa"/>
            <w:tcBorders>
              <w:top w:val="single" w:color="auto" w:sz="4" w:space="0"/>
              <w:left w:val="single" w:color="auto" w:sz="4" w:space="0"/>
              <w:bottom w:val="single" w:color="auto" w:sz="4" w:space="0"/>
              <w:right w:val="single" w:color="auto" w:sz="4" w:space="0"/>
            </w:tcBorders>
          </w:tcPr>
          <w:p>
            <w:pPr>
              <w:widowControl/>
              <w:ind w:firstLine="420" w:firstLineChars="200"/>
              <w:jc w:val="center"/>
              <w:rPr>
                <w:rFonts w:hint="default" w:ascii="Times New Roman" w:hAnsi="Times New Roman" w:cs="Times New Roman"/>
                <w:color w:val="000000"/>
                <w:kern w:val="0"/>
                <w:sz w:val="21"/>
                <w:szCs w:val="21"/>
              </w:rPr>
            </w:pPr>
          </w:p>
        </w:tc>
        <w:tc>
          <w:tcPr>
            <w:tcW w:w="1246" w:type="dxa"/>
            <w:tcBorders>
              <w:top w:val="single" w:color="auto" w:sz="4" w:space="0"/>
              <w:left w:val="single" w:color="auto" w:sz="4" w:space="0"/>
              <w:bottom w:val="single" w:color="auto" w:sz="4" w:space="0"/>
              <w:right w:val="single" w:color="auto" w:sz="4" w:space="0"/>
            </w:tcBorders>
          </w:tcPr>
          <w:p>
            <w:pPr>
              <w:widowControl/>
              <w:ind w:firstLine="210" w:firstLineChars="100"/>
              <w:jc w:val="center"/>
              <w:rPr>
                <w:rFonts w:hint="default" w:ascii="Times New Roman" w:hAnsi="Times New Roman" w:cs="Times New Roman"/>
                <w:color w:val="000000"/>
                <w:kern w:val="0"/>
                <w:sz w:val="21"/>
                <w:szCs w:val="21"/>
              </w:rPr>
            </w:pPr>
          </w:p>
        </w:tc>
      </w:tr>
      <w:tr>
        <w:tblPrEx>
          <w:tblCellMar>
            <w:top w:w="0" w:type="dxa"/>
            <w:left w:w="108" w:type="dxa"/>
            <w:bottom w:w="0" w:type="dxa"/>
            <w:right w:w="108" w:type="dxa"/>
          </w:tblCellMar>
        </w:tblPrEx>
        <w:trPr>
          <w:trHeight w:val="289" w:hRule="atLeast"/>
          <w:jc w:val="center"/>
        </w:trPr>
        <w:tc>
          <w:tcPr>
            <w:tcW w:w="21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208</w:t>
            </w:r>
          </w:p>
        </w:tc>
        <w:tc>
          <w:tcPr>
            <w:tcW w:w="44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社会保障和就业支出</w:t>
            </w:r>
          </w:p>
        </w:tc>
        <w:tc>
          <w:tcPr>
            <w:tcW w:w="136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4.77</w:t>
            </w:r>
          </w:p>
        </w:tc>
        <w:tc>
          <w:tcPr>
            <w:tcW w:w="112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4.77</w:t>
            </w:r>
          </w:p>
        </w:tc>
        <w:tc>
          <w:tcPr>
            <w:tcW w:w="124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625" w:type="dxa"/>
            <w:tcBorders>
              <w:top w:val="single" w:color="auto" w:sz="4" w:space="0"/>
              <w:left w:val="single" w:color="auto" w:sz="4" w:space="0"/>
              <w:bottom w:val="single" w:color="auto" w:sz="4" w:space="0"/>
              <w:right w:val="single" w:color="auto" w:sz="4" w:space="0"/>
            </w:tcBorders>
          </w:tcPr>
          <w:p>
            <w:pPr>
              <w:widowControl/>
              <w:ind w:firstLine="420" w:firstLineChars="200"/>
              <w:jc w:val="center"/>
              <w:rPr>
                <w:rFonts w:hint="default" w:ascii="Times New Roman" w:hAnsi="Times New Roman" w:cs="Times New Roman"/>
                <w:color w:val="000000"/>
                <w:kern w:val="0"/>
                <w:sz w:val="21"/>
                <w:szCs w:val="21"/>
              </w:rPr>
            </w:pPr>
          </w:p>
        </w:tc>
        <w:tc>
          <w:tcPr>
            <w:tcW w:w="867" w:type="dxa"/>
            <w:tcBorders>
              <w:top w:val="single" w:color="auto" w:sz="4" w:space="0"/>
              <w:left w:val="single" w:color="auto" w:sz="4" w:space="0"/>
              <w:bottom w:val="single" w:color="auto" w:sz="4" w:space="0"/>
              <w:right w:val="single" w:color="auto" w:sz="4" w:space="0"/>
            </w:tcBorders>
          </w:tcPr>
          <w:p>
            <w:pPr>
              <w:widowControl/>
              <w:ind w:firstLine="420" w:firstLineChars="200"/>
              <w:jc w:val="center"/>
              <w:rPr>
                <w:rFonts w:hint="default" w:ascii="Times New Roman" w:hAnsi="Times New Roman" w:cs="Times New Roman"/>
                <w:color w:val="000000"/>
                <w:kern w:val="0"/>
                <w:sz w:val="21"/>
                <w:szCs w:val="21"/>
              </w:rPr>
            </w:pPr>
          </w:p>
        </w:tc>
        <w:tc>
          <w:tcPr>
            <w:tcW w:w="1246" w:type="dxa"/>
            <w:tcBorders>
              <w:top w:val="single" w:color="auto" w:sz="4" w:space="0"/>
              <w:left w:val="single" w:color="auto" w:sz="4" w:space="0"/>
              <w:bottom w:val="single" w:color="auto" w:sz="4" w:space="0"/>
              <w:right w:val="single" w:color="auto" w:sz="4" w:space="0"/>
            </w:tcBorders>
          </w:tcPr>
          <w:p>
            <w:pPr>
              <w:widowControl/>
              <w:ind w:firstLine="210" w:firstLineChars="100"/>
              <w:jc w:val="center"/>
              <w:rPr>
                <w:rFonts w:hint="default" w:ascii="Times New Roman" w:hAnsi="Times New Roman" w:cs="Times New Roman"/>
                <w:color w:val="000000"/>
                <w:kern w:val="0"/>
                <w:sz w:val="21"/>
                <w:szCs w:val="21"/>
              </w:rPr>
            </w:pPr>
          </w:p>
        </w:tc>
      </w:tr>
      <w:tr>
        <w:tblPrEx>
          <w:tblCellMar>
            <w:top w:w="0" w:type="dxa"/>
            <w:left w:w="108" w:type="dxa"/>
            <w:bottom w:w="0" w:type="dxa"/>
            <w:right w:w="108" w:type="dxa"/>
          </w:tblCellMar>
        </w:tblPrEx>
        <w:trPr>
          <w:trHeight w:val="289" w:hRule="atLeast"/>
          <w:jc w:val="center"/>
        </w:trPr>
        <w:tc>
          <w:tcPr>
            <w:tcW w:w="21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20805</w:t>
            </w:r>
          </w:p>
        </w:tc>
        <w:tc>
          <w:tcPr>
            <w:tcW w:w="44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行政事业单位养老支出</w:t>
            </w:r>
          </w:p>
        </w:tc>
        <w:tc>
          <w:tcPr>
            <w:tcW w:w="136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4.77</w:t>
            </w:r>
          </w:p>
        </w:tc>
        <w:tc>
          <w:tcPr>
            <w:tcW w:w="112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4.77</w:t>
            </w:r>
          </w:p>
        </w:tc>
        <w:tc>
          <w:tcPr>
            <w:tcW w:w="124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625" w:type="dxa"/>
            <w:tcBorders>
              <w:top w:val="single" w:color="auto" w:sz="4" w:space="0"/>
              <w:left w:val="single" w:color="auto" w:sz="4" w:space="0"/>
              <w:bottom w:val="single" w:color="auto" w:sz="4" w:space="0"/>
              <w:right w:val="single" w:color="auto" w:sz="4" w:space="0"/>
            </w:tcBorders>
          </w:tcPr>
          <w:p>
            <w:pPr>
              <w:widowControl/>
              <w:ind w:firstLine="420" w:firstLineChars="200"/>
              <w:jc w:val="center"/>
              <w:rPr>
                <w:rFonts w:hint="default" w:ascii="Times New Roman" w:hAnsi="Times New Roman" w:cs="Times New Roman"/>
                <w:color w:val="000000"/>
                <w:kern w:val="0"/>
                <w:sz w:val="21"/>
                <w:szCs w:val="21"/>
              </w:rPr>
            </w:pPr>
          </w:p>
        </w:tc>
        <w:tc>
          <w:tcPr>
            <w:tcW w:w="867" w:type="dxa"/>
            <w:tcBorders>
              <w:top w:val="single" w:color="auto" w:sz="4" w:space="0"/>
              <w:left w:val="single" w:color="auto" w:sz="4" w:space="0"/>
              <w:bottom w:val="single" w:color="auto" w:sz="4" w:space="0"/>
              <w:right w:val="single" w:color="auto" w:sz="4" w:space="0"/>
            </w:tcBorders>
          </w:tcPr>
          <w:p>
            <w:pPr>
              <w:widowControl/>
              <w:ind w:firstLine="420" w:firstLineChars="200"/>
              <w:jc w:val="center"/>
              <w:rPr>
                <w:rFonts w:hint="default" w:ascii="Times New Roman" w:hAnsi="Times New Roman" w:cs="Times New Roman"/>
                <w:color w:val="000000"/>
                <w:kern w:val="0"/>
                <w:sz w:val="21"/>
                <w:szCs w:val="21"/>
              </w:rPr>
            </w:pPr>
          </w:p>
        </w:tc>
        <w:tc>
          <w:tcPr>
            <w:tcW w:w="1246" w:type="dxa"/>
            <w:tcBorders>
              <w:top w:val="single" w:color="auto" w:sz="4" w:space="0"/>
              <w:left w:val="single" w:color="auto" w:sz="4" w:space="0"/>
              <w:bottom w:val="single" w:color="auto" w:sz="4" w:space="0"/>
              <w:right w:val="single" w:color="auto" w:sz="4" w:space="0"/>
            </w:tcBorders>
          </w:tcPr>
          <w:p>
            <w:pPr>
              <w:widowControl/>
              <w:ind w:firstLine="210" w:firstLineChars="100"/>
              <w:jc w:val="center"/>
              <w:rPr>
                <w:rFonts w:hint="default" w:ascii="Times New Roman" w:hAnsi="Times New Roman" w:cs="Times New Roman"/>
                <w:color w:val="000000"/>
                <w:kern w:val="0"/>
                <w:sz w:val="21"/>
                <w:szCs w:val="21"/>
              </w:rPr>
            </w:pPr>
          </w:p>
        </w:tc>
      </w:tr>
      <w:tr>
        <w:tblPrEx>
          <w:tblCellMar>
            <w:top w:w="0" w:type="dxa"/>
            <w:left w:w="108" w:type="dxa"/>
            <w:bottom w:w="0" w:type="dxa"/>
            <w:right w:w="108" w:type="dxa"/>
          </w:tblCellMar>
        </w:tblPrEx>
        <w:trPr>
          <w:trHeight w:val="289" w:hRule="atLeast"/>
          <w:jc w:val="center"/>
        </w:trPr>
        <w:tc>
          <w:tcPr>
            <w:tcW w:w="21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2080505</w:t>
            </w:r>
          </w:p>
        </w:tc>
        <w:tc>
          <w:tcPr>
            <w:tcW w:w="44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机关事业单位基本养老保险缴费支出</w:t>
            </w:r>
          </w:p>
        </w:tc>
        <w:tc>
          <w:tcPr>
            <w:tcW w:w="136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3.75</w:t>
            </w:r>
          </w:p>
        </w:tc>
        <w:tc>
          <w:tcPr>
            <w:tcW w:w="112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3.75</w:t>
            </w:r>
          </w:p>
        </w:tc>
        <w:tc>
          <w:tcPr>
            <w:tcW w:w="124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625" w:type="dxa"/>
            <w:tcBorders>
              <w:top w:val="single" w:color="auto" w:sz="4" w:space="0"/>
              <w:left w:val="single" w:color="auto" w:sz="4" w:space="0"/>
              <w:bottom w:val="single" w:color="auto" w:sz="4" w:space="0"/>
              <w:right w:val="single" w:color="auto" w:sz="4" w:space="0"/>
            </w:tcBorders>
          </w:tcPr>
          <w:p>
            <w:pPr>
              <w:widowControl/>
              <w:ind w:firstLine="420" w:firstLineChars="200"/>
              <w:jc w:val="center"/>
              <w:rPr>
                <w:rFonts w:hint="default" w:ascii="Times New Roman" w:hAnsi="Times New Roman" w:cs="Times New Roman"/>
                <w:color w:val="000000"/>
                <w:kern w:val="0"/>
                <w:sz w:val="21"/>
                <w:szCs w:val="21"/>
              </w:rPr>
            </w:pPr>
          </w:p>
        </w:tc>
        <w:tc>
          <w:tcPr>
            <w:tcW w:w="867" w:type="dxa"/>
            <w:tcBorders>
              <w:top w:val="single" w:color="auto" w:sz="4" w:space="0"/>
              <w:left w:val="single" w:color="auto" w:sz="4" w:space="0"/>
              <w:bottom w:val="single" w:color="auto" w:sz="4" w:space="0"/>
              <w:right w:val="single" w:color="auto" w:sz="4" w:space="0"/>
            </w:tcBorders>
          </w:tcPr>
          <w:p>
            <w:pPr>
              <w:widowControl/>
              <w:ind w:firstLine="420" w:firstLineChars="200"/>
              <w:jc w:val="center"/>
              <w:rPr>
                <w:rFonts w:hint="default" w:ascii="Times New Roman" w:hAnsi="Times New Roman" w:cs="Times New Roman"/>
                <w:color w:val="000000"/>
                <w:kern w:val="0"/>
                <w:sz w:val="21"/>
                <w:szCs w:val="21"/>
              </w:rPr>
            </w:pPr>
          </w:p>
        </w:tc>
        <w:tc>
          <w:tcPr>
            <w:tcW w:w="1246" w:type="dxa"/>
            <w:tcBorders>
              <w:top w:val="single" w:color="auto" w:sz="4" w:space="0"/>
              <w:left w:val="single" w:color="auto" w:sz="4" w:space="0"/>
              <w:bottom w:val="single" w:color="auto" w:sz="4" w:space="0"/>
              <w:right w:val="single" w:color="auto" w:sz="4" w:space="0"/>
            </w:tcBorders>
          </w:tcPr>
          <w:p>
            <w:pPr>
              <w:widowControl/>
              <w:ind w:firstLine="210" w:firstLineChars="100"/>
              <w:jc w:val="center"/>
              <w:rPr>
                <w:rFonts w:hint="default" w:ascii="Times New Roman" w:hAnsi="Times New Roman" w:cs="Times New Roman"/>
                <w:color w:val="000000"/>
                <w:kern w:val="0"/>
                <w:sz w:val="21"/>
                <w:szCs w:val="21"/>
              </w:rPr>
            </w:pPr>
          </w:p>
        </w:tc>
      </w:tr>
      <w:tr>
        <w:tblPrEx>
          <w:tblCellMar>
            <w:top w:w="0" w:type="dxa"/>
            <w:left w:w="108" w:type="dxa"/>
            <w:bottom w:w="0" w:type="dxa"/>
            <w:right w:w="108" w:type="dxa"/>
          </w:tblCellMar>
        </w:tblPrEx>
        <w:trPr>
          <w:trHeight w:val="289" w:hRule="atLeast"/>
          <w:jc w:val="center"/>
        </w:trPr>
        <w:tc>
          <w:tcPr>
            <w:tcW w:w="21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2080506</w:t>
            </w:r>
          </w:p>
        </w:tc>
        <w:tc>
          <w:tcPr>
            <w:tcW w:w="44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机关事业单位职业年金缴费支出</w:t>
            </w:r>
          </w:p>
        </w:tc>
        <w:tc>
          <w:tcPr>
            <w:tcW w:w="136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1.02</w:t>
            </w:r>
          </w:p>
        </w:tc>
        <w:tc>
          <w:tcPr>
            <w:tcW w:w="112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1.02</w:t>
            </w:r>
          </w:p>
        </w:tc>
        <w:tc>
          <w:tcPr>
            <w:tcW w:w="124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625" w:type="dxa"/>
            <w:tcBorders>
              <w:top w:val="single" w:color="auto" w:sz="4" w:space="0"/>
              <w:left w:val="single" w:color="auto" w:sz="4" w:space="0"/>
              <w:bottom w:val="single" w:color="auto" w:sz="4" w:space="0"/>
              <w:right w:val="single" w:color="auto" w:sz="4" w:space="0"/>
            </w:tcBorders>
          </w:tcPr>
          <w:p>
            <w:pPr>
              <w:widowControl/>
              <w:ind w:firstLine="420" w:firstLineChars="200"/>
              <w:jc w:val="center"/>
              <w:rPr>
                <w:rFonts w:hint="default" w:ascii="Times New Roman" w:hAnsi="Times New Roman" w:cs="Times New Roman"/>
                <w:color w:val="000000"/>
                <w:kern w:val="0"/>
                <w:sz w:val="21"/>
                <w:szCs w:val="21"/>
              </w:rPr>
            </w:pPr>
          </w:p>
        </w:tc>
        <w:tc>
          <w:tcPr>
            <w:tcW w:w="867" w:type="dxa"/>
            <w:tcBorders>
              <w:top w:val="single" w:color="auto" w:sz="4" w:space="0"/>
              <w:left w:val="single" w:color="auto" w:sz="4" w:space="0"/>
              <w:bottom w:val="single" w:color="auto" w:sz="4" w:space="0"/>
              <w:right w:val="single" w:color="auto" w:sz="4" w:space="0"/>
            </w:tcBorders>
          </w:tcPr>
          <w:p>
            <w:pPr>
              <w:widowControl/>
              <w:ind w:firstLine="420" w:firstLineChars="200"/>
              <w:jc w:val="center"/>
              <w:rPr>
                <w:rFonts w:hint="default" w:ascii="Times New Roman" w:hAnsi="Times New Roman" w:cs="Times New Roman"/>
                <w:color w:val="000000"/>
                <w:kern w:val="0"/>
                <w:sz w:val="21"/>
                <w:szCs w:val="21"/>
              </w:rPr>
            </w:pPr>
          </w:p>
        </w:tc>
        <w:tc>
          <w:tcPr>
            <w:tcW w:w="1246" w:type="dxa"/>
            <w:tcBorders>
              <w:top w:val="single" w:color="auto" w:sz="4" w:space="0"/>
              <w:left w:val="single" w:color="auto" w:sz="4" w:space="0"/>
              <w:bottom w:val="single" w:color="auto" w:sz="4" w:space="0"/>
              <w:right w:val="single" w:color="auto" w:sz="4" w:space="0"/>
            </w:tcBorders>
          </w:tcPr>
          <w:p>
            <w:pPr>
              <w:widowControl/>
              <w:ind w:firstLine="210" w:firstLineChars="100"/>
              <w:jc w:val="center"/>
              <w:rPr>
                <w:rFonts w:hint="default" w:ascii="Times New Roman" w:hAnsi="Times New Roman" w:cs="Times New Roman"/>
                <w:color w:val="000000"/>
                <w:kern w:val="0"/>
                <w:sz w:val="21"/>
                <w:szCs w:val="21"/>
              </w:rPr>
            </w:pPr>
          </w:p>
        </w:tc>
      </w:tr>
      <w:tr>
        <w:tblPrEx>
          <w:tblCellMar>
            <w:top w:w="0" w:type="dxa"/>
            <w:left w:w="108" w:type="dxa"/>
            <w:bottom w:w="0" w:type="dxa"/>
            <w:right w:w="108" w:type="dxa"/>
          </w:tblCellMar>
        </w:tblPrEx>
        <w:trPr>
          <w:trHeight w:val="289" w:hRule="atLeast"/>
          <w:jc w:val="center"/>
        </w:trPr>
        <w:tc>
          <w:tcPr>
            <w:tcW w:w="21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210</w:t>
            </w:r>
          </w:p>
        </w:tc>
        <w:tc>
          <w:tcPr>
            <w:tcW w:w="44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卫生健康支出</w:t>
            </w:r>
          </w:p>
        </w:tc>
        <w:tc>
          <w:tcPr>
            <w:tcW w:w="136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1.23</w:t>
            </w:r>
          </w:p>
        </w:tc>
        <w:tc>
          <w:tcPr>
            <w:tcW w:w="112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1.23</w:t>
            </w:r>
          </w:p>
        </w:tc>
        <w:tc>
          <w:tcPr>
            <w:tcW w:w="124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625" w:type="dxa"/>
            <w:tcBorders>
              <w:top w:val="single" w:color="auto" w:sz="4" w:space="0"/>
              <w:left w:val="single" w:color="auto" w:sz="4" w:space="0"/>
              <w:bottom w:val="single" w:color="auto" w:sz="4" w:space="0"/>
              <w:right w:val="single" w:color="auto" w:sz="4" w:space="0"/>
            </w:tcBorders>
          </w:tcPr>
          <w:p>
            <w:pPr>
              <w:widowControl/>
              <w:ind w:firstLine="420" w:firstLineChars="200"/>
              <w:jc w:val="center"/>
              <w:rPr>
                <w:rFonts w:hint="default" w:ascii="Times New Roman" w:hAnsi="Times New Roman" w:cs="Times New Roman"/>
                <w:color w:val="000000"/>
                <w:kern w:val="0"/>
                <w:sz w:val="21"/>
                <w:szCs w:val="21"/>
              </w:rPr>
            </w:pPr>
          </w:p>
        </w:tc>
        <w:tc>
          <w:tcPr>
            <w:tcW w:w="867" w:type="dxa"/>
            <w:tcBorders>
              <w:top w:val="single" w:color="auto" w:sz="4" w:space="0"/>
              <w:left w:val="single" w:color="auto" w:sz="4" w:space="0"/>
              <w:bottom w:val="single" w:color="auto" w:sz="4" w:space="0"/>
              <w:right w:val="single" w:color="auto" w:sz="4" w:space="0"/>
            </w:tcBorders>
          </w:tcPr>
          <w:p>
            <w:pPr>
              <w:widowControl/>
              <w:ind w:firstLine="420" w:firstLineChars="200"/>
              <w:jc w:val="center"/>
              <w:rPr>
                <w:rFonts w:hint="default" w:ascii="Times New Roman" w:hAnsi="Times New Roman" w:cs="Times New Roman"/>
                <w:color w:val="000000"/>
                <w:kern w:val="0"/>
                <w:sz w:val="21"/>
                <w:szCs w:val="21"/>
              </w:rPr>
            </w:pPr>
          </w:p>
        </w:tc>
        <w:tc>
          <w:tcPr>
            <w:tcW w:w="1246" w:type="dxa"/>
            <w:tcBorders>
              <w:top w:val="single" w:color="auto" w:sz="4" w:space="0"/>
              <w:left w:val="single" w:color="auto" w:sz="4" w:space="0"/>
              <w:bottom w:val="single" w:color="auto" w:sz="4" w:space="0"/>
              <w:right w:val="single" w:color="auto" w:sz="4" w:space="0"/>
            </w:tcBorders>
          </w:tcPr>
          <w:p>
            <w:pPr>
              <w:widowControl/>
              <w:ind w:firstLine="210" w:firstLineChars="100"/>
              <w:jc w:val="center"/>
              <w:rPr>
                <w:rFonts w:hint="default" w:ascii="Times New Roman" w:hAnsi="Times New Roman" w:cs="Times New Roman"/>
                <w:color w:val="000000"/>
                <w:kern w:val="0"/>
                <w:sz w:val="21"/>
                <w:szCs w:val="21"/>
              </w:rPr>
            </w:pPr>
          </w:p>
        </w:tc>
      </w:tr>
      <w:tr>
        <w:tblPrEx>
          <w:tblCellMar>
            <w:top w:w="0" w:type="dxa"/>
            <w:left w:w="108" w:type="dxa"/>
            <w:bottom w:w="0" w:type="dxa"/>
            <w:right w:w="108" w:type="dxa"/>
          </w:tblCellMar>
        </w:tblPrEx>
        <w:trPr>
          <w:trHeight w:val="289" w:hRule="atLeast"/>
          <w:jc w:val="center"/>
        </w:trPr>
        <w:tc>
          <w:tcPr>
            <w:tcW w:w="21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21011</w:t>
            </w:r>
          </w:p>
        </w:tc>
        <w:tc>
          <w:tcPr>
            <w:tcW w:w="44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行政事业单位医疗</w:t>
            </w:r>
          </w:p>
        </w:tc>
        <w:tc>
          <w:tcPr>
            <w:tcW w:w="136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1.23</w:t>
            </w:r>
          </w:p>
        </w:tc>
        <w:tc>
          <w:tcPr>
            <w:tcW w:w="112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1.23</w:t>
            </w:r>
          </w:p>
        </w:tc>
        <w:tc>
          <w:tcPr>
            <w:tcW w:w="124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625" w:type="dxa"/>
            <w:tcBorders>
              <w:top w:val="single" w:color="auto" w:sz="4" w:space="0"/>
              <w:left w:val="single" w:color="auto" w:sz="4" w:space="0"/>
              <w:bottom w:val="single" w:color="auto" w:sz="4" w:space="0"/>
              <w:right w:val="single" w:color="auto" w:sz="4" w:space="0"/>
            </w:tcBorders>
          </w:tcPr>
          <w:p>
            <w:pPr>
              <w:widowControl/>
              <w:ind w:firstLine="420" w:firstLineChars="200"/>
              <w:jc w:val="center"/>
              <w:rPr>
                <w:rFonts w:hint="default" w:ascii="Times New Roman" w:hAnsi="Times New Roman" w:cs="Times New Roman"/>
                <w:color w:val="000000"/>
                <w:kern w:val="0"/>
                <w:sz w:val="21"/>
                <w:szCs w:val="21"/>
              </w:rPr>
            </w:pPr>
          </w:p>
        </w:tc>
        <w:tc>
          <w:tcPr>
            <w:tcW w:w="867" w:type="dxa"/>
            <w:tcBorders>
              <w:top w:val="single" w:color="auto" w:sz="4" w:space="0"/>
              <w:left w:val="single" w:color="auto" w:sz="4" w:space="0"/>
              <w:bottom w:val="single" w:color="auto" w:sz="4" w:space="0"/>
              <w:right w:val="single" w:color="auto" w:sz="4" w:space="0"/>
            </w:tcBorders>
          </w:tcPr>
          <w:p>
            <w:pPr>
              <w:widowControl/>
              <w:ind w:firstLine="420" w:firstLineChars="200"/>
              <w:jc w:val="center"/>
              <w:rPr>
                <w:rFonts w:hint="default" w:ascii="Times New Roman" w:hAnsi="Times New Roman" w:cs="Times New Roman"/>
                <w:color w:val="000000"/>
                <w:kern w:val="0"/>
                <w:sz w:val="21"/>
                <w:szCs w:val="21"/>
              </w:rPr>
            </w:pPr>
          </w:p>
        </w:tc>
        <w:tc>
          <w:tcPr>
            <w:tcW w:w="1246" w:type="dxa"/>
            <w:tcBorders>
              <w:top w:val="single" w:color="auto" w:sz="4" w:space="0"/>
              <w:left w:val="single" w:color="auto" w:sz="4" w:space="0"/>
              <w:bottom w:val="single" w:color="auto" w:sz="4" w:space="0"/>
              <w:right w:val="single" w:color="auto" w:sz="4" w:space="0"/>
            </w:tcBorders>
          </w:tcPr>
          <w:p>
            <w:pPr>
              <w:widowControl/>
              <w:ind w:firstLine="210" w:firstLineChars="100"/>
              <w:jc w:val="center"/>
              <w:rPr>
                <w:rFonts w:hint="default" w:ascii="Times New Roman" w:hAnsi="Times New Roman" w:cs="Times New Roman"/>
                <w:color w:val="000000"/>
                <w:kern w:val="0"/>
                <w:sz w:val="21"/>
                <w:szCs w:val="21"/>
              </w:rPr>
            </w:pPr>
          </w:p>
        </w:tc>
      </w:tr>
      <w:tr>
        <w:tblPrEx>
          <w:tblCellMar>
            <w:top w:w="0" w:type="dxa"/>
            <w:left w:w="108" w:type="dxa"/>
            <w:bottom w:w="0" w:type="dxa"/>
            <w:right w:w="108" w:type="dxa"/>
          </w:tblCellMar>
        </w:tblPrEx>
        <w:trPr>
          <w:trHeight w:val="289" w:hRule="atLeast"/>
          <w:jc w:val="center"/>
        </w:trPr>
        <w:tc>
          <w:tcPr>
            <w:tcW w:w="21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2101102</w:t>
            </w:r>
          </w:p>
        </w:tc>
        <w:tc>
          <w:tcPr>
            <w:tcW w:w="44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事业单位医疗</w:t>
            </w:r>
          </w:p>
        </w:tc>
        <w:tc>
          <w:tcPr>
            <w:tcW w:w="136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1.23</w:t>
            </w:r>
          </w:p>
        </w:tc>
        <w:tc>
          <w:tcPr>
            <w:tcW w:w="112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1.23</w:t>
            </w:r>
          </w:p>
        </w:tc>
        <w:tc>
          <w:tcPr>
            <w:tcW w:w="124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625" w:type="dxa"/>
            <w:tcBorders>
              <w:top w:val="single" w:color="auto" w:sz="4" w:space="0"/>
              <w:left w:val="single" w:color="auto" w:sz="4" w:space="0"/>
              <w:bottom w:val="single" w:color="auto" w:sz="4" w:space="0"/>
              <w:right w:val="single" w:color="auto" w:sz="4" w:space="0"/>
            </w:tcBorders>
          </w:tcPr>
          <w:p>
            <w:pPr>
              <w:widowControl/>
              <w:ind w:firstLine="420" w:firstLineChars="200"/>
              <w:jc w:val="center"/>
              <w:rPr>
                <w:rFonts w:hint="default" w:ascii="Times New Roman" w:hAnsi="Times New Roman" w:cs="Times New Roman"/>
                <w:color w:val="000000"/>
                <w:kern w:val="0"/>
                <w:sz w:val="21"/>
                <w:szCs w:val="21"/>
              </w:rPr>
            </w:pPr>
          </w:p>
        </w:tc>
        <w:tc>
          <w:tcPr>
            <w:tcW w:w="867" w:type="dxa"/>
            <w:tcBorders>
              <w:top w:val="single" w:color="auto" w:sz="4" w:space="0"/>
              <w:left w:val="single" w:color="auto" w:sz="4" w:space="0"/>
              <w:bottom w:val="single" w:color="auto" w:sz="4" w:space="0"/>
              <w:right w:val="single" w:color="auto" w:sz="4" w:space="0"/>
            </w:tcBorders>
          </w:tcPr>
          <w:p>
            <w:pPr>
              <w:widowControl/>
              <w:ind w:firstLine="420" w:firstLineChars="200"/>
              <w:jc w:val="center"/>
              <w:rPr>
                <w:rFonts w:hint="default" w:ascii="Times New Roman" w:hAnsi="Times New Roman" w:cs="Times New Roman"/>
                <w:color w:val="000000"/>
                <w:kern w:val="0"/>
                <w:sz w:val="21"/>
                <w:szCs w:val="21"/>
              </w:rPr>
            </w:pPr>
          </w:p>
        </w:tc>
        <w:tc>
          <w:tcPr>
            <w:tcW w:w="1246" w:type="dxa"/>
            <w:tcBorders>
              <w:top w:val="single" w:color="auto" w:sz="4" w:space="0"/>
              <w:left w:val="single" w:color="auto" w:sz="4" w:space="0"/>
              <w:bottom w:val="single" w:color="auto" w:sz="4" w:space="0"/>
              <w:right w:val="single" w:color="auto" w:sz="4" w:space="0"/>
            </w:tcBorders>
          </w:tcPr>
          <w:p>
            <w:pPr>
              <w:widowControl/>
              <w:ind w:firstLine="210" w:firstLineChars="100"/>
              <w:jc w:val="center"/>
              <w:rPr>
                <w:rFonts w:hint="default" w:ascii="Times New Roman" w:hAnsi="Times New Roman" w:cs="Times New Roman"/>
                <w:color w:val="000000"/>
                <w:kern w:val="0"/>
                <w:sz w:val="21"/>
                <w:szCs w:val="21"/>
              </w:rPr>
            </w:pPr>
          </w:p>
        </w:tc>
      </w:tr>
      <w:tr>
        <w:tblPrEx>
          <w:tblCellMar>
            <w:top w:w="0" w:type="dxa"/>
            <w:left w:w="108" w:type="dxa"/>
            <w:bottom w:w="0" w:type="dxa"/>
            <w:right w:w="108" w:type="dxa"/>
          </w:tblCellMar>
        </w:tblPrEx>
        <w:trPr>
          <w:trHeight w:val="289" w:hRule="atLeast"/>
          <w:jc w:val="center"/>
        </w:trPr>
        <w:tc>
          <w:tcPr>
            <w:tcW w:w="21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221</w:t>
            </w:r>
          </w:p>
        </w:tc>
        <w:tc>
          <w:tcPr>
            <w:tcW w:w="44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住房保障支出</w:t>
            </w:r>
          </w:p>
        </w:tc>
        <w:tc>
          <w:tcPr>
            <w:tcW w:w="136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3.00</w:t>
            </w:r>
          </w:p>
        </w:tc>
        <w:tc>
          <w:tcPr>
            <w:tcW w:w="112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3.00</w:t>
            </w:r>
          </w:p>
        </w:tc>
        <w:tc>
          <w:tcPr>
            <w:tcW w:w="124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625" w:type="dxa"/>
            <w:tcBorders>
              <w:top w:val="single" w:color="auto" w:sz="4" w:space="0"/>
              <w:left w:val="single" w:color="auto" w:sz="4" w:space="0"/>
              <w:bottom w:val="single" w:color="auto" w:sz="4" w:space="0"/>
              <w:right w:val="single" w:color="auto" w:sz="4" w:space="0"/>
            </w:tcBorders>
          </w:tcPr>
          <w:p>
            <w:pPr>
              <w:widowControl/>
              <w:ind w:firstLine="420" w:firstLineChars="200"/>
              <w:jc w:val="center"/>
              <w:rPr>
                <w:rFonts w:hint="default" w:ascii="Times New Roman" w:hAnsi="Times New Roman" w:cs="Times New Roman"/>
                <w:color w:val="000000"/>
                <w:kern w:val="0"/>
                <w:sz w:val="21"/>
                <w:szCs w:val="21"/>
              </w:rPr>
            </w:pPr>
          </w:p>
        </w:tc>
        <w:tc>
          <w:tcPr>
            <w:tcW w:w="867" w:type="dxa"/>
            <w:tcBorders>
              <w:top w:val="single" w:color="auto" w:sz="4" w:space="0"/>
              <w:left w:val="single" w:color="auto" w:sz="4" w:space="0"/>
              <w:bottom w:val="single" w:color="auto" w:sz="4" w:space="0"/>
              <w:right w:val="single" w:color="auto" w:sz="4" w:space="0"/>
            </w:tcBorders>
          </w:tcPr>
          <w:p>
            <w:pPr>
              <w:widowControl/>
              <w:ind w:firstLine="420" w:firstLineChars="200"/>
              <w:jc w:val="center"/>
              <w:rPr>
                <w:rFonts w:hint="default" w:ascii="Times New Roman" w:hAnsi="Times New Roman" w:cs="Times New Roman"/>
                <w:color w:val="000000"/>
                <w:kern w:val="0"/>
                <w:sz w:val="21"/>
                <w:szCs w:val="21"/>
              </w:rPr>
            </w:pPr>
          </w:p>
        </w:tc>
        <w:tc>
          <w:tcPr>
            <w:tcW w:w="1246" w:type="dxa"/>
            <w:tcBorders>
              <w:top w:val="single" w:color="auto" w:sz="4" w:space="0"/>
              <w:left w:val="single" w:color="auto" w:sz="4" w:space="0"/>
              <w:bottom w:val="single" w:color="auto" w:sz="4" w:space="0"/>
              <w:right w:val="single" w:color="auto" w:sz="4" w:space="0"/>
            </w:tcBorders>
          </w:tcPr>
          <w:p>
            <w:pPr>
              <w:widowControl/>
              <w:ind w:firstLine="210" w:firstLineChars="100"/>
              <w:jc w:val="center"/>
              <w:rPr>
                <w:rFonts w:hint="default" w:ascii="Times New Roman" w:hAnsi="Times New Roman" w:cs="Times New Roman"/>
                <w:color w:val="000000"/>
                <w:kern w:val="0"/>
                <w:sz w:val="21"/>
                <w:szCs w:val="21"/>
              </w:rPr>
            </w:pPr>
          </w:p>
        </w:tc>
      </w:tr>
      <w:tr>
        <w:tblPrEx>
          <w:tblCellMar>
            <w:top w:w="0" w:type="dxa"/>
            <w:left w:w="108" w:type="dxa"/>
            <w:bottom w:w="0" w:type="dxa"/>
            <w:right w:w="108" w:type="dxa"/>
          </w:tblCellMar>
        </w:tblPrEx>
        <w:trPr>
          <w:trHeight w:val="289" w:hRule="atLeast"/>
          <w:jc w:val="center"/>
        </w:trPr>
        <w:tc>
          <w:tcPr>
            <w:tcW w:w="21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22102</w:t>
            </w:r>
          </w:p>
        </w:tc>
        <w:tc>
          <w:tcPr>
            <w:tcW w:w="44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住房改革支出</w:t>
            </w:r>
          </w:p>
        </w:tc>
        <w:tc>
          <w:tcPr>
            <w:tcW w:w="136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3.00</w:t>
            </w:r>
          </w:p>
        </w:tc>
        <w:tc>
          <w:tcPr>
            <w:tcW w:w="112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3.00</w:t>
            </w:r>
          </w:p>
        </w:tc>
        <w:tc>
          <w:tcPr>
            <w:tcW w:w="124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625" w:type="dxa"/>
            <w:tcBorders>
              <w:top w:val="single" w:color="auto" w:sz="4" w:space="0"/>
              <w:left w:val="single" w:color="auto" w:sz="4" w:space="0"/>
              <w:bottom w:val="single" w:color="auto" w:sz="4" w:space="0"/>
              <w:right w:val="single" w:color="auto" w:sz="4" w:space="0"/>
            </w:tcBorders>
          </w:tcPr>
          <w:p>
            <w:pPr>
              <w:widowControl/>
              <w:ind w:firstLine="420" w:firstLineChars="200"/>
              <w:jc w:val="center"/>
              <w:rPr>
                <w:rFonts w:hint="default" w:ascii="Times New Roman" w:hAnsi="Times New Roman" w:cs="Times New Roman"/>
                <w:color w:val="000000"/>
                <w:kern w:val="0"/>
                <w:sz w:val="21"/>
                <w:szCs w:val="21"/>
              </w:rPr>
            </w:pPr>
          </w:p>
        </w:tc>
        <w:tc>
          <w:tcPr>
            <w:tcW w:w="867" w:type="dxa"/>
            <w:tcBorders>
              <w:top w:val="single" w:color="auto" w:sz="4" w:space="0"/>
              <w:left w:val="single" w:color="auto" w:sz="4" w:space="0"/>
              <w:bottom w:val="single" w:color="auto" w:sz="4" w:space="0"/>
              <w:right w:val="single" w:color="auto" w:sz="4" w:space="0"/>
            </w:tcBorders>
          </w:tcPr>
          <w:p>
            <w:pPr>
              <w:widowControl/>
              <w:ind w:firstLine="420" w:firstLineChars="200"/>
              <w:jc w:val="center"/>
              <w:rPr>
                <w:rFonts w:hint="default" w:ascii="Times New Roman" w:hAnsi="Times New Roman" w:cs="Times New Roman"/>
                <w:color w:val="000000"/>
                <w:kern w:val="0"/>
                <w:sz w:val="21"/>
                <w:szCs w:val="21"/>
              </w:rPr>
            </w:pPr>
          </w:p>
        </w:tc>
        <w:tc>
          <w:tcPr>
            <w:tcW w:w="1246" w:type="dxa"/>
            <w:tcBorders>
              <w:top w:val="single" w:color="auto" w:sz="4" w:space="0"/>
              <w:left w:val="single" w:color="auto" w:sz="4" w:space="0"/>
              <w:bottom w:val="single" w:color="auto" w:sz="4" w:space="0"/>
              <w:right w:val="single" w:color="auto" w:sz="4" w:space="0"/>
            </w:tcBorders>
          </w:tcPr>
          <w:p>
            <w:pPr>
              <w:widowControl/>
              <w:ind w:firstLine="210" w:firstLineChars="100"/>
              <w:jc w:val="center"/>
              <w:rPr>
                <w:rFonts w:hint="default" w:ascii="Times New Roman" w:hAnsi="Times New Roman" w:cs="Times New Roman"/>
                <w:color w:val="000000"/>
                <w:kern w:val="0"/>
                <w:sz w:val="21"/>
                <w:szCs w:val="21"/>
              </w:rPr>
            </w:pPr>
          </w:p>
        </w:tc>
      </w:tr>
      <w:tr>
        <w:tblPrEx>
          <w:tblCellMar>
            <w:top w:w="0" w:type="dxa"/>
            <w:left w:w="108" w:type="dxa"/>
            <w:bottom w:w="0" w:type="dxa"/>
            <w:right w:w="108" w:type="dxa"/>
          </w:tblCellMar>
        </w:tblPrEx>
        <w:trPr>
          <w:trHeight w:val="289" w:hRule="atLeast"/>
          <w:jc w:val="center"/>
        </w:trPr>
        <w:tc>
          <w:tcPr>
            <w:tcW w:w="21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2210201</w:t>
            </w:r>
          </w:p>
        </w:tc>
        <w:tc>
          <w:tcPr>
            <w:tcW w:w="44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住房公积金</w:t>
            </w:r>
          </w:p>
        </w:tc>
        <w:tc>
          <w:tcPr>
            <w:tcW w:w="136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3.00</w:t>
            </w:r>
          </w:p>
        </w:tc>
        <w:tc>
          <w:tcPr>
            <w:tcW w:w="112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3.00</w:t>
            </w:r>
          </w:p>
        </w:tc>
        <w:tc>
          <w:tcPr>
            <w:tcW w:w="124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625" w:type="dxa"/>
            <w:tcBorders>
              <w:top w:val="single" w:color="auto" w:sz="4" w:space="0"/>
              <w:left w:val="single" w:color="auto" w:sz="4" w:space="0"/>
              <w:bottom w:val="single" w:color="auto" w:sz="4" w:space="0"/>
              <w:right w:val="single" w:color="auto" w:sz="4" w:space="0"/>
            </w:tcBorders>
          </w:tcPr>
          <w:p>
            <w:pPr>
              <w:widowControl/>
              <w:ind w:firstLine="420" w:firstLineChars="200"/>
              <w:jc w:val="center"/>
              <w:rPr>
                <w:rFonts w:hint="default" w:ascii="Times New Roman" w:hAnsi="Times New Roman" w:cs="Times New Roman"/>
                <w:color w:val="000000"/>
                <w:kern w:val="0"/>
                <w:sz w:val="21"/>
                <w:szCs w:val="21"/>
              </w:rPr>
            </w:pPr>
          </w:p>
        </w:tc>
        <w:tc>
          <w:tcPr>
            <w:tcW w:w="867" w:type="dxa"/>
            <w:tcBorders>
              <w:top w:val="single" w:color="auto" w:sz="4" w:space="0"/>
              <w:left w:val="single" w:color="auto" w:sz="4" w:space="0"/>
              <w:bottom w:val="single" w:color="auto" w:sz="4" w:space="0"/>
              <w:right w:val="single" w:color="auto" w:sz="4" w:space="0"/>
            </w:tcBorders>
          </w:tcPr>
          <w:p>
            <w:pPr>
              <w:widowControl/>
              <w:ind w:firstLine="420" w:firstLineChars="200"/>
              <w:jc w:val="center"/>
              <w:rPr>
                <w:rFonts w:hint="default" w:ascii="Times New Roman" w:hAnsi="Times New Roman" w:cs="Times New Roman"/>
                <w:color w:val="000000"/>
                <w:kern w:val="0"/>
                <w:sz w:val="21"/>
                <w:szCs w:val="21"/>
              </w:rPr>
            </w:pPr>
          </w:p>
        </w:tc>
        <w:tc>
          <w:tcPr>
            <w:tcW w:w="1246" w:type="dxa"/>
            <w:tcBorders>
              <w:top w:val="single" w:color="auto" w:sz="4" w:space="0"/>
              <w:left w:val="single" w:color="auto" w:sz="4" w:space="0"/>
              <w:bottom w:val="single" w:color="auto" w:sz="4" w:space="0"/>
              <w:right w:val="single" w:color="auto" w:sz="4" w:space="0"/>
            </w:tcBorders>
          </w:tcPr>
          <w:p>
            <w:pPr>
              <w:widowControl/>
              <w:ind w:firstLine="210" w:firstLineChars="100"/>
              <w:jc w:val="center"/>
              <w:rPr>
                <w:rFonts w:hint="default" w:ascii="Times New Roman" w:hAnsi="Times New Roman" w:cs="Times New Roman"/>
                <w:color w:val="000000"/>
                <w:kern w:val="0"/>
                <w:sz w:val="21"/>
                <w:szCs w:val="21"/>
              </w:rPr>
            </w:pPr>
          </w:p>
        </w:tc>
      </w:tr>
    </w:tbl>
    <w:p>
      <w:pPr>
        <w:rPr>
          <w:rFonts w:hint="default" w:ascii="Times New Roman" w:hAnsi="Times New Roman" w:cs="Times New Roman"/>
        </w:rPr>
      </w:pPr>
    </w:p>
    <w:p>
      <w:pPr>
        <w:rPr>
          <w:rFonts w:hint="default" w:ascii="Times New Roman" w:hAnsi="Times New Roman" w:eastAsia="方正小标宋简体" w:cs="Times New Roman"/>
          <w:kern w:val="0"/>
          <w:sz w:val="21"/>
          <w:szCs w:val="21"/>
        </w:rPr>
      </w:pPr>
      <w:r>
        <w:rPr>
          <w:rFonts w:hint="default" w:ascii="Times New Roman" w:hAnsi="Times New Roman" w:cs="Times New Roman"/>
        </w:rPr>
        <w:t>注：本表反映</w:t>
      </w:r>
      <w:r>
        <w:rPr>
          <w:rFonts w:hint="eastAsia" w:cs="Times New Roman"/>
          <w:lang w:eastAsia="zh-CN"/>
        </w:rPr>
        <w:t>单位</w:t>
      </w:r>
      <w:r>
        <w:rPr>
          <w:rFonts w:hint="default" w:ascii="Times New Roman" w:hAnsi="Times New Roman" w:cs="Times New Roman"/>
        </w:rPr>
        <w:t>本年度各项支出情况。</w:t>
      </w:r>
    </w:p>
    <w:p>
      <w:pPr>
        <w:jc w:val="center"/>
        <w:rPr>
          <w:rFonts w:hint="default" w:ascii="Times New Roman" w:hAnsi="Times New Roman" w:eastAsia="方正小标宋简体" w:cs="Times New Roman"/>
          <w:kern w:val="0"/>
          <w:sz w:val="36"/>
          <w:szCs w:val="36"/>
        </w:rPr>
      </w:pPr>
      <w:r>
        <w:rPr>
          <w:rFonts w:hint="default" w:ascii="Times New Roman" w:hAnsi="Times New Roman" w:eastAsia="方正小标宋简体" w:cs="Times New Roman"/>
          <w:kern w:val="0"/>
          <w:sz w:val="36"/>
          <w:szCs w:val="36"/>
        </w:rPr>
        <w:t>表四：财政拨款收入支出决算总表</w:t>
      </w:r>
    </w:p>
    <w:p>
      <w:pPr>
        <w:jc w:val="right"/>
        <w:rPr>
          <w:rFonts w:hint="default" w:ascii="Times New Roman" w:hAnsi="Times New Roman" w:cs="Times New Roman"/>
        </w:rPr>
      </w:pPr>
      <w:r>
        <w:rPr>
          <w:rFonts w:hint="default" w:ascii="Times New Roman" w:hAnsi="Times New Roman" w:cs="Times New Roman"/>
          <w:sz w:val="22"/>
          <w:szCs w:val="22"/>
        </w:rPr>
        <w:t>单位：万元</w:t>
      </w:r>
    </w:p>
    <w:tbl>
      <w:tblPr>
        <w:tblStyle w:val="6"/>
        <w:tblW w:w="13765" w:type="dxa"/>
        <w:jc w:val="center"/>
        <w:tblLayout w:type="fixed"/>
        <w:tblCellMar>
          <w:top w:w="0" w:type="dxa"/>
          <w:left w:w="108" w:type="dxa"/>
          <w:bottom w:w="0" w:type="dxa"/>
          <w:right w:w="108" w:type="dxa"/>
        </w:tblCellMar>
      </w:tblPr>
      <w:tblGrid>
        <w:gridCol w:w="3500"/>
        <w:gridCol w:w="453"/>
        <w:gridCol w:w="1214"/>
        <w:gridCol w:w="3520"/>
        <w:gridCol w:w="706"/>
        <w:gridCol w:w="1294"/>
        <w:gridCol w:w="1466"/>
        <w:gridCol w:w="1612"/>
      </w:tblGrid>
      <w:tr>
        <w:tblPrEx>
          <w:tblCellMar>
            <w:top w:w="0" w:type="dxa"/>
            <w:left w:w="108" w:type="dxa"/>
            <w:bottom w:w="0" w:type="dxa"/>
            <w:right w:w="108" w:type="dxa"/>
          </w:tblCellMar>
        </w:tblPrEx>
        <w:trPr>
          <w:trHeight w:val="300" w:hRule="atLeast"/>
          <w:jc w:val="center"/>
        </w:trPr>
        <w:tc>
          <w:tcPr>
            <w:tcW w:w="5167" w:type="dxa"/>
            <w:gridSpan w:val="3"/>
            <w:tcBorders>
              <w:top w:val="single" w:color="auto" w:sz="4" w:space="0"/>
              <w:left w:val="single" w:color="auto" w:sz="4" w:space="0"/>
              <w:bottom w:val="single" w:color="auto" w:sz="4" w:space="0"/>
              <w:right w:val="single" w:color="000000" w:sz="4" w:space="0"/>
            </w:tcBorders>
            <w:vAlign w:val="top"/>
          </w:tcPr>
          <w:p>
            <w:pPr>
              <w:widowControl/>
              <w:jc w:val="center"/>
              <w:rPr>
                <w:rFonts w:hint="default" w:ascii="Times New Roman" w:hAnsi="Times New Roman" w:cs="Times New Roman"/>
                <w:color w:val="000000"/>
                <w:kern w:val="0"/>
                <w:sz w:val="20"/>
                <w:szCs w:val="20"/>
              </w:rPr>
            </w:pPr>
            <w:r>
              <w:rPr>
                <w:rFonts w:hint="default" w:ascii="Times New Roman" w:hAnsi="Times New Roman" w:eastAsia="MingLiU" w:cs="Times New Roman"/>
                <w:kern w:val="0"/>
                <w:sz w:val="22"/>
                <w:szCs w:val="22"/>
              </w:rPr>
              <w:t>收 入</w:t>
            </w:r>
          </w:p>
        </w:tc>
        <w:tc>
          <w:tcPr>
            <w:tcW w:w="8598" w:type="dxa"/>
            <w:gridSpan w:val="5"/>
            <w:tcBorders>
              <w:top w:val="single" w:color="auto" w:sz="4" w:space="0"/>
              <w:left w:val="nil"/>
              <w:bottom w:val="single" w:color="auto" w:sz="4" w:space="0"/>
              <w:right w:val="single" w:color="000000" w:sz="4" w:space="0"/>
            </w:tcBorders>
            <w:vAlign w:val="top"/>
          </w:tcPr>
          <w:p>
            <w:pPr>
              <w:widowControl/>
              <w:jc w:val="center"/>
              <w:rPr>
                <w:rFonts w:hint="default" w:ascii="Times New Roman" w:hAnsi="Times New Roman" w:cs="Times New Roman"/>
                <w:color w:val="000000"/>
                <w:kern w:val="0"/>
                <w:sz w:val="20"/>
                <w:szCs w:val="20"/>
              </w:rPr>
            </w:pPr>
            <w:r>
              <w:rPr>
                <w:rFonts w:hint="default" w:ascii="Times New Roman" w:hAnsi="Times New Roman" w:eastAsia="MingLiU" w:cs="Times New Roman"/>
                <w:kern w:val="0"/>
                <w:sz w:val="22"/>
                <w:szCs w:val="22"/>
              </w:rPr>
              <w:t>支 出</w:t>
            </w:r>
          </w:p>
        </w:tc>
      </w:tr>
      <w:tr>
        <w:tblPrEx>
          <w:tblCellMar>
            <w:top w:w="0" w:type="dxa"/>
            <w:left w:w="108" w:type="dxa"/>
            <w:bottom w:w="0" w:type="dxa"/>
            <w:right w:w="108" w:type="dxa"/>
          </w:tblCellMar>
        </w:tblPrEx>
        <w:trPr>
          <w:trHeight w:val="732" w:hRule="atLeast"/>
          <w:jc w:val="center"/>
        </w:trPr>
        <w:tc>
          <w:tcPr>
            <w:tcW w:w="3500"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项 目</w:t>
            </w:r>
          </w:p>
        </w:tc>
        <w:tc>
          <w:tcPr>
            <w:tcW w:w="453"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行次</w:t>
            </w:r>
          </w:p>
        </w:tc>
        <w:tc>
          <w:tcPr>
            <w:tcW w:w="1214"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金额</w:t>
            </w:r>
          </w:p>
        </w:tc>
        <w:tc>
          <w:tcPr>
            <w:tcW w:w="352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项 目</w:t>
            </w:r>
          </w:p>
        </w:tc>
        <w:tc>
          <w:tcPr>
            <w:tcW w:w="706"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行次</w:t>
            </w:r>
          </w:p>
        </w:tc>
        <w:tc>
          <w:tcPr>
            <w:tcW w:w="1294"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合计</w:t>
            </w:r>
          </w:p>
        </w:tc>
        <w:tc>
          <w:tcPr>
            <w:tcW w:w="1466"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一般公共预算财政拨款</w:t>
            </w:r>
          </w:p>
        </w:tc>
        <w:tc>
          <w:tcPr>
            <w:tcW w:w="1612"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政府性基金预算财政拨款</w:t>
            </w:r>
          </w:p>
        </w:tc>
      </w:tr>
      <w:tr>
        <w:tblPrEx>
          <w:tblCellMar>
            <w:top w:w="0" w:type="dxa"/>
            <w:left w:w="108" w:type="dxa"/>
            <w:bottom w:w="0" w:type="dxa"/>
            <w:right w:w="108" w:type="dxa"/>
          </w:tblCellMar>
        </w:tblPrEx>
        <w:trPr>
          <w:trHeight w:val="288" w:hRule="atLeast"/>
          <w:jc w:val="center"/>
        </w:trPr>
        <w:tc>
          <w:tcPr>
            <w:tcW w:w="3500" w:type="dxa"/>
            <w:tcBorders>
              <w:top w:val="nil"/>
              <w:left w:val="single" w:color="auto" w:sz="4" w:space="0"/>
              <w:bottom w:val="single" w:color="auto" w:sz="4" w:space="0"/>
              <w:right w:val="single" w:color="auto" w:sz="4" w:space="0"/>
            </w:tcBorders>
            <w:vAlign w:val="top"/>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栏 次</w:t>
            </w:r>
          </w:p>
        </w:tc>
        <w:tc>
          <w:tcPr>
            <w:tcW w:w="453" w:type="dxa"/>
            <w:tcBorders>
              <w:top w:val="nil"/>
              <w:left w:val="nil"/>
              <w:bottom w:val="single" w:color="auto" w:sz="4" w:space="0"/>
              <w:right w:val="single" w:color="auto" w:sz="4" w:space="0"/>
            </w:tcBorders>
            <w:vAlign w:val="top"/>
          </w:tcPr>
          <w:p>
            <w:pPr>
              <w:widowControl/>
              <w:ind w:firstLine="220" w:firstLineChars="1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214" w:type="dxa"/>
            <w:tcBorders>
              <w:top w:val="nil"/>
              <w:left w:val="nil"/>
              <w:bottom w:val="single" w:color="auto" w:sz="4" w:space="0"/>
              <w:right w:val="single" w:color="auto" w:sz="4" w:space="0"/>
            </w:tcBorders>
            <w:vAlign w:val="top"/>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w:t>
            </w:r>
          </w:p>
        </w:tc>
        <w:tc>
          <w:tcPr>
            <w:tcW w:w="3520" w:type="dxa"/>
            <w:tcBorders>
              <w:top w:val="nil"/>
              <w:left w:val="nil"/>
              <w:bottom w:val="single" w:color="auto" w:sz="4" w:space="0"/>
              <w:right w:val="single" w:color="auto" w:sz="4" w:space="0"/>
            </w:tcBorders>
            <w:vAlign w:val="top"/>
          </w:tcPr>
          <w:p>
            <w:pPr>
              <w:widowControl/>
              <w:ind w:firstLine="880" w:firstLineChars="400"/>
              <w:jc w:val="left"/>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栏 次</w:t>
            </w:r>
          </w:p>
        </w:tc>
        <w:tc>
          <w:tcPr>
            <w:tcW w:w="706" w:type="dxa"/>
            <w:tcBorders>
              <w:top w:val="nil"/>
              <w:left w:val="nil"/>
              <w:bottom w:val="single" w:color="auto" w:sz="4" w:space="0"/>
              <w:right w:val="single" w:color="auto" w:sz="4" w:space="0"/>
            </w:tcBorders>
            <w:vAlign w:val="top"/>
          </w:tcPr>
          <w:p>
            <w:pPr>
              <w:widowControl/>
              <w:ind w:firstLine="220" w:firstLineChars="1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294" w:type="dxa"/>
            <w:tcBorders>
              <w:top w:val="nil"/>
              <w:left w:val="nil"/>
              <w:bottom w:val="single" w:color="auto" w:sz="4" w:space="0"/>
              <w:right w:val="single" w:color="auto" w:sz="4" w:space="0"/>
            </w:tcBorders>
            <w:vAlign w:val="top"/>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2</w:t>
            </w:r>
          </w:p>
        </w:tc>
        <w:tc>
          <w:tcPr>
            <w:tcW w:w="1466" w:type="dxa"/>
            <w:tcBorders>
              <w:top w:val="nil"/>
              <w:left w:val="nil"/>
              <w:bottom w:val="single" w:color="auto" w:sz="4" w:space="0"/>
              <w:right w:val="single" w:color="auto" w:sz="4" w:space="0"/>
            </w:tcBorders>
            <w:vAlign w:val="top"/>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3</w:t>
            </w:r>
          </w:p>
        </w:tc>
        <w:tc>
          <w:tcPr>
            <w:tcW w:w="1612" w:type="dxa"/>
            <w:tcBorders>
              <w:top w:val="nil"/>
              <w:left w:val="nil"/>
              <w:bottom w:val="single" w:color="auto" w:sz="4" w:space="0"/>
              <w:right w:val="single" w:color="auto" w:sz="4" w:space="0"/>
            </w:tcBorders>
            <w:vAlign w:val="top"/>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4</w:t>
            </w:r>
          </w:p>
        </w:tc>
      </w:tr>
      <w:tr>
        <w:tblPrEx>
          <w:tblCellMar>
            <w:top w:w="0" w:type="dxa"/>
            <w:left w:w="108" w:type="dxa"/>
            <w:bottom w:w="0" w:type="dxa"/>
            <w:right w:w="108" w:type="dxa"/>
          </w:tblCellMar>
        </w:tblPrEx>
        <w:trPr>
          <w:trHeight w:val="170" w:hRule="atLeast"/>
          <w:jc w:val="center"/>
        </w:trPr>
        <w:tc>
          <w:tcPr>
            <w:tcW w:w="3500" w:type="dxa"/>
            <w:tcBorders>
              <w:top w:val="nil"/>
              <w:left w:val="single" w:color="auto" w:sz="4" w:space="0"/>
              <w:bottom w:val="single" w:color="auto" w:sz="4" w:space="0"/>
              <w:right w:val="single" w:color="auto" w:sz="4" w:space="0"/>
            </w:tcBorders>
            <w:vAlign w:val="top"/>
          </w:tcPr>
          <w:p>
            <w:pPr>
              <w:widowControl/>
              <w:jc w:val="left"/>
              <w:rPr>
                <w:rFonts w:hint="default" w:ascii="Times New Roman" w:hAnsi="Times New Roman" w:eastAsia="宋体" w:cs="Times New Roman"/>
                <w:color w:val="000000"/>
                <w:kern w:val="0"/>
                <w:sz w:val="20"/>
                <w:szCs w:val="20"/>
                <w:lang w:eastAsia="zh-CN"/>
              </w:rPr>
            </w:pPr>
            <w:r>
              <w:rPr>
                <w:rFonts w:hint="default" w:ascii="Times New Roman" w:hAnsi="Times New Roman" w:cs="Times New Roman"/>
                <w:kern w:val="0"/>
                <w:sz w:val="20"/>
                <w:szCs w:val="20"/>
              </w:rPr>
              <w:t>一、一般公共预算财政拨款</w:t>
            </w:r>
            <w:r>
              <w:rPr>
                <w:rFonts w:hint="default" w:ascii="Times New Roman" w:hAnsi="Times New Roman" w:cs="Times New Roman"/>
                <w:kern w:val="0"/>
                <w:sz w:val="20"/>
                <w:szCs w:val="20"/>
                <w:lang w:eastAsia="zh-CN"/>
              </w:rPr>
              <w:t>收入</w:t>
            </w:r>
          </w:p>
        </w:tc>
        <w:tc>
          <w:tcPr>
            <w:tcW w:w="45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color w:val="000000"/>
                <w:kern w:val="0"/>
                <w:sz w:val="21"/>
                <w:szCs w:val="21"/>
                <w:u w:val="none"/>
                <w:lang w:val="en-US" w:eastAsia="zh-CN" w:bidi="ar"/>
              </w:rPr>
              <w:t>1</w:t>
            </w:r>
          </w:p>
        </w:tc>
        <w:tc>
          <w:tcPr>
            <w:tcW w:w="1214" w:type="dxa"/>
            <w:tcBorders>
              <w:top w:val="nil"/>
              <w:left w:val="nil"/>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r>
              <w:rPr>
                <w:rFonts w:hint="default" w:ascii="Times New Roman" w:hAnsi="Times New Roman" w:cs="Times New Roman"/>
                <w:i w:val="0"/>
                <w:color w:val="000000"/>
                <w:kern w:val="0"/>
                <w:sz w:val="21"/>
                <w:szCs w:val="21"/>
                <w:u w:val="none"/>
                <w:lang w:val="en-US" w:eastAsia="zh-CN" w:bidi="ar"/>
              </w:rPr>
              <w:t>59.85</w:t>
            </w:r>
          </w:p>
        </w:tc>
        <w:tc>
          <w:tcPr>
            <w:tcW w:w="35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一、一般公共服务支出</w:t>
            </w:r>
          </w:p>
        </w:tc>
        <w:tc>
          <w:tcPr>
            <w:tcW w:w="70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32</w:t>
            </w:r>
          </w:p>
        </w:tc>
        <w:tc>
          <w:tcPr>
            <w:tcW w:w="129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49.55</w:t>
            </w:r>
          </w:p>
        </w:tc>
        <w:tc>
          <w:tcPr>
            <w:tcW w:w="146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49.55</w:t>
            </w:r>
          </w:p>
        </w:tc>
        <w:tc>
          <w:tcPr>
            <w:tcW w:w="1612" w:type="dxa"/>
            <w:tcBorders>
              <w:top w:val="nil"/>
              <w:left w:val="nil"/>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w:t>
            </w:r>
          </w:p>
        </w:tc>
      </w:tr>
      <w:tr>
        <w:tblPrEx>
          <w:tblCellMar>
            <w:top w:w="0" w:type="dxa"/>
            <w:left w:w="108" w:type="dxa"/>
            <w:bottom w:w="0" w:type="dxa"/>
            <w:right w:w="108" w:type="dxa"/>
          </w:tblCellMar>
        </w:tblPrEx>
        <w:trPr>
          <w:trHeight w:val="170" w:hRule="atLeast"/>
          <w:jc w:val="center"/>
        </w:trPr>
        <w:tc>
          <w:tcPr>
            <w:tcW w:w="3500" w:type="dxa"/>
            <w:tcBorders>
              <w:top w:val="nil"/>
              <w:left w:val="single" w:color="auto" w:sz="4" w:space="0"/>
              <w:bottom w:val="single" w:color="auto" w:sz="4" w:space="0"/>
              <w:right w:val="single" w:color="auto" w:sz="4" w:space="0"/>
            </w:tcBorders>
            <w:vAlign w:val="top"/>
          </w:tcPr>
          <w:p>
            <w:pPr>
              <w:widowControl/>
              <w:jc w:val="left"/>
              <w:rPr>
                <w:rFonts w:hint="default" w:ascii="Times New Roman" w:hAnsi="Times New Roman" w:eastAsia="宋体" w:cs="Times New Roman"/>
                <w:color w:val="000000"/>
                <w:kern w:val="0"/>
                <w:sz w:val="20"/>
                <w:szCs w:val="20"/>
                <w:lang w:eastAsia="zh-CN"/>
              </w:rPr>
            </w:pPr>
            <w:r>
              <w:rPr>
                <w:rFonts w:hint="default" w:ascii="Times New Roman" w:hAnsi="Times New Roman" w:cs="Times New Roman"/>
                <w:kern w:val="0"/>
                <w:sz w:val="20"/>
                <w:szCs w:val="20"/>
              </w:rPr>
              <w:t>二、政府性基金预算财政拨款</w:t>
            </w:r>
            <w:r>
              <w:rPr>
                <w:rFonts w:hint="default" w:ascii="Times New Roman" w:hAnsi="Times New Roman" w:cs="Times New Roman"/>
                <w:kern w:val="0"/>
                <w:sz w:val="20"/>
                <w:szCs w:val="20"/>
                <w:lang w:eastAsia="zh-CN"/>
              </w:rPr>
              <w:t>收入</w:t>
            </w:r>
          </w:p>
        </w:tc>
        <w:tc>
          <w:tcPr>
            <w:tcW w:w="45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color w:val="000000"/>
                <w:kern w:val="0"/>
                <w:sz w:val="21"/>
                <w:szCs w:val="21"/>
                <w:u w:val="none"/>
                <w:lang w:val="en-US" w:eastAsia="zh-CN" w:bidi="ar"/>
              </w:rPr>
              <w:t>2</w:t>
            </w:r>
          </w:p>
        </w:tc>
        <w:tc>
          <w:tcPr>
            <w:tcW w:w="1214" w:type="dxa"/>
            <w:tcBorders>
              <w:top w:val="nil"/>
              <w:left w:val="nil"/>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35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二、外交支出</w:t>
            </w:r>
          </w:p>
        </w:tc>
        <w:tc>
          <w:tcPr>
            <w:tcW w:w="70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33</w:t>
            </w:r>
          </w:p>
        </w:tc>
        <w:tc>
          <w:tcPr>
            <w:tcW w:w="129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46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612" w:type="dxa"/>
            <w:tcBorders>
              <w:top w:val="nil"/>
              <w:left w:val="nil"/>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w:t>
            </w:r>
          </w:p>
        </w:tc>
      </w:tr>
      <w:tr>
        <w:tblPrEx>
          <w:tblCellMar>
            <w:top w:w="0" w:type="dxa"/>
            <w:left w:w="108" w:type="dxa"/>
            <w:bottom w:w="0" w:type="dxa"/>
            <w:right w:w="108" w:type="dxa"/>
          </w:tblCellMar>
        </w:tblPrEx>
        <w:trPr>
          <w:trHeight w:val="170" w:hRule="atLeast"/>
          <w:jc w:val="center"/>
        </w:trPr>
        <w:tc>
          <w:tcPr>
            <w:tcW w:w="3500" w:type="dxa"/>
            <w:tcBorders>
              <w:top w:val="nil"/>
              <w:left w:val="single" w:color="auto" w:sz="4" w:space="0"/>
              <w:bottom w:val="single" w:color="auto" w:sz="4" w:space="0"/>
              <w:right w:val="single" w:color="auto" w:sz="4" w:space="0"/>
            </w:tcBorders>
            <w:vAlign w:val="top"/>
          </w:tcPr>
          <w:p>
            <w:pPr>
              <w:widowControl/>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45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color w:val="000000"/>
                <w:kern w:val="0"/>
                <w:sz w:val="21"/>
                <w:szCs w:val="21"/>
                <w:u w:val="none"/>
                <w:lang w:val="en-US" w:eastAsia="zh-CN" w:bidi="ar"/>
              </w:rPr>
              <w:t>3</w:t>
            </w:r>
          </w:p>
        </w:tc>
        <w:tc>
          <w:tcPr>
            <w:tcW w:w="1214" w:type="dxa"/>
            <w:tcBorders>
              <w:top w:val="nil"/>
              <w:left w:val="nil"/>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35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三、国防支出</w:t>
            </w:r>
          </w:p>
        </w:tc>
        <w:tc>
          <w:tcPr>
            <w:tcW w:w="70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34</w:t>
            </w:r>
          </w:p>
        </w:tc>
        <w:tc>
          <w:tcPr>
            <w:tcW w:w="129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46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612" w:type="dxa"/>
            <w:tcBorders>
              <w:top w:val="nil"/>
              <w:left w:val="nil"/>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w:t>
            </w:r>
          </w:p>
        </w:tc>
      </w:tr>
      <w:tr>
        <w:tblPrEx>
          <w:tblCellMar>
            <w:top w:w="0" w:type="dxa"/>
            <w:left w:w="108" w:type="dxa"/>
            <w:bottom w:w="0" w:type="dxa"/>
            <w:right w:w="108" w:type="dxa"/>
          </w:tblCellMar>
        </w:tblPrEx>
        <w:trPr>
          <w:trHeight w:val="170" w:hRule="atLeast"/>
          <w:jc w:val="center"/>
        </w:trPr>
        <w:tc>
          <w:tcPr>
            <w:tcW w:w="3500" w:type="dxa"/>
            <w:tcBorders>
              <w:top w:val="nil"/>
              <w:left w:val="single" w:color="auto" w:sz="4" w:space="0"/>
              <w:bottom w:val="single" w:color="auto" w:sz="4" w:space="0"/>
              <w:right w:val="single" w:color="auto" w:sz="4" w:space="0"/>
            </w:tcBorders>
            <w:vAlign w:val="top"/>
          </w:tcPr>
          <w:p>
            <w:pPr>
              <w:widowControl/>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45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color w:val="000000"/>
                <w:kern w:val="0"/>
                <w:sz w:val="21"/>
                <w:szCs w:val="21"/>
                <w:u w:val="none"/>
                <w:lang w:val="en-US" w:eastAsia="zh-CN" w:bidi="ar"/>
              </w:rPr>
              <w:t>4</w:t>
            </w:r>
          </w:p>
        </w:tc>
        <w:tc>
          <w:tcPr>
            <w:tcW w:w="1214" w:type="dxa"/>
            <w:tcBorders>
              <w:top w:val="nil"/>
              <w:left w:val="nil"/>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35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四、公共安全支出</w:t>
            </w:r>
          </w:p>
        </w:tc>
        <w:tc>
          <w:tcPr>
            <w:tcW w:w="70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35</w:t>
            </w:r>
          </w:p>
        </w:tc>
        <w:tc>
          <w:tcPr>
            <w:tcW w:w="129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46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612" w:type="dxa"/>
            <w:tcBorders>
              <w:top w:val="nil"/>
              <w:left w:val="nil"/>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w:t>
            </w:r>
          </w:p>
        </w:tc>
      </w:tr>
      <w:tr>
        <w:tblPrEx>
          <w:tblCellMar>
            <w:top w:w="0" w:type="dxa"/>
            <w:left w:w="108" w:type="dxa"/>
            <w:bottom w:w="0" w:type="dxa"/>
            <w:right w:w="108" w:type="dxa"/>
          </w:tblCellMar>
        </w:tblPrEx>
        <w:trPr>
          <w:trHeight w:val="170" w:hRule="atLeast"/>
          <w:jc w:val="center"/>
        </w:trPr>
        <w:tc>
          <w:tcPr>
            <w:tcW w:w="3500" w:type="dxa"/>
            <w:tcBorders>
              <w:top w:val="nil"/>
              <w:left w:val="single" w:color="auto" w:sz="4" w:space="0"/>
              <w:bottom w:val="single" w:color="auto" w:sz="4" w:space="0"/>
              <w:right w:val="single" w:color="auto" w:sz="4" w:space="0"/>
            </w:tcBorders>
            <w:vAlign w:val="top"/>
          </w:tcPr>
          <w:p>
            <w:pPr>
              <w:widowControl/>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45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color w:val="000000"/>
                <w:kern w:val="0"/>
                <w:sz w:val="21"/>
                <w:szCs w:val="21"/>
                <w:u w:val="none"/>
                <w:lang w:val="en-US" w:eastAsia="zh-CN" w:bidi="ar"/>
              </w:rPr>
              <w:t>5</w:t>
            </w:r>
          </w:p>
        </w:tc>
        <w:tc>
          <w:tcPr>
            <w:tcW w:w="1214" w:type="dxa"/>
            <w:tcBorders>
              <w:top w:val="nil"/>
              <w:left w:val="nil"/>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35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五、教育支出</w:t>
            </w:r>
          </w:p>
        </w:tc>
        <w:tc>
          <w:tcPr>
            <w:tcW w:w="70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36</w:t>
            </w:r>
          </w:p>
        </w:tc>
        <w:tc>
          <w:tcPr>
            <w:tcW w:w="129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46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612" w:type="dxa"/>
            <w:tcBorders>
              <w:top w:val="nil"/>
              <w:left w:val="nil"/>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w:t>
            </w:r>
          </w:p>
        </w:tc>
      </w:tr>
      <w:tr>
        <w:tblPrEx>
          <w:tblCellMar>
            <w:top w:w="0" w:type="dxa"/>
            <w:left w:w="108" w:type="dxa"/>
            <w:bottom w:w="0" w:type="dxa"/>
            <w:right w:w="108" w:type="dxa"/>
          </w:tblCellMar>
        </w:tblPrEx>
        <w:trPr>
          <w:trHeight w:val="170" w:hRule="atLeast"/>
          <w:jc w:val="center"/>
        </w:trPr>
        <w:tc>
          <w:tcPr>
            <w:tcW w:w="3500" w:type="dxa"/>
            <w:tcBorders>
              <w:top w:val="nil"/>
              <w:left w:val="single" w:color="auto" w:sz="4" w:space="0"/>
              <w:bottom w:val="single" w:color="auto" w:sz="4" w:space="0"/>
              <w:right w:val="single" w:color="auto" w:sz="4" w:space="0"/>
            </w:tcBorders>
            <w:vAlign w:val="top"/>
          </w:tcPr>
          <w:p>
            <w:pPr>
              <w:widowControl/>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45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color w:val="000000"/>
                <w:kern w:val="0"/>
                <w:sz w:val="21"/>
                <w:szCs w:val="21"/>
                <w:u w:val="none"/>
                <w:lang w:val="en-US" w:eastAsia="zh-CN" w:bidi="ar"/>
              </w:rPr>
              <w:t>6</w:t>
            </w:r>
          </w:p>
        </w:tc>
        <w:tc>
          <w:tcPr>
            <w:tcW w:w="1214" w:type="dxa"/>
            <w:tcBorders>
              <w:top w:val="nil"/>
              <w:left w:val="nil"/>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35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六、科学技术支出</w:t>
            </w:r>
          </w:p>
        </w:tc>
        <w:tc>
          <w:tcPr>
            <w:tcW w:w="70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37</w:t>
            </w:r>
          </w:p>
        </w:tc>
        <w:tc>
          <w:tcPr>
            <w:tcW w:w="129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46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612" w:type="dxa"/>
            <w:tcBorders>
              <w:top w:val="nil"/>
              <w:left w:val="nil"/>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w:t>
            </w:r>
          </w:p>
        </w:tc>
      </w:tr>
      <w:tr>
        <w:tblPrEx>
          <w:tblCellMar>
            <w:top w:w="0" w:type="dxa"/>
            <w:left w:w="108" w:type="dxa"/>
            <w:bottom w:w="0" w:type="dxa"/>
            <w:right w:w="108" w:type="dxa"/>
          </w:tblCellMar>
        </w:tblPrEx>
        <w:trPr>
          <w:trHeight w:val="170" w:hRule="atLeast"/>
          <w:jc w:val="center"/>
        </w:trPr>
        <w:tc>
          <w:tcPr>
            <w:tcW w:w="3500" w:type="dxa"/>
            <w:tcBorders>
              <w:top w:val="nil"/>
              <w:left w:val="single" w:color="auto" w:sz="4" w:space="0"/>
              <w:bottom w:val="single" w:color="auto" w:sz="4" w:space="0"/>
              <w:right w:val="single" w:color="auto" w:sz="4" w:space="0"/>
            </w:tcBorders>
            <w:vAlign w:val="top"/>
          </w:tcPr>
          <w:p>
            <w:pPr>
              <w:widowControl/>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45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color w:val="000000"/>
                <w:kern w:val="0"/>
                <w:sz w:val="21"/>
                <w:szCs w:val="21"/>
                <w:u w:val="none"/>
                <w:lang w:val="en-US" w:eastAsia="zh-CN" w:bidi="ar"/>
              </w:rPr>
              <w:t>7</w:t>
            </w:r>
          </w:p>
        </w:tc>
        <w:tc>
          <w:tcPr>
            <w:tcW w:w="1214" w:type="dxa"/>
            <w:tcBorders>
              <w:top w:val="nil"/>
              <w:left w:val="nil"/>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35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七、文化旅游体育与传媒支出</w:t>
            </w:r>
          </w:p>
        </w:tc>
        <w:tc>
          <w:tcPr>
            <w:tcW w:w="70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38</w:t>
            </w:r>
          </w:p>
        </w:tc>
        <w:tc>
          <w:tcPr>
            <w:tcW w:w="129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46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612" w:type="dxa"/>
            <w:tcBorders>
              <w:top w:val="nil"/>
              <w:left w:val="nil"/>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w:t>
            </w:r>
          </w:p>
        </w:tc>
      </w:tr>
      <w:tr>
        <w:tblPrEx>
          <w:tblCellMar>
            <w:top w:w="0" w:type="dxa"/>
            <w:left w:w="108" w:type="dxa"/>
            <w:bottom w:w="0" w:type="dxa"/>
            <w:right w:w="108" w:type="dxa"/>
          </w:tblCellMar>
        </w:tblPrEx>
        <w:trPr>
          <w:trHeight w:val="170" w:hRule="atLeast"/>
          <w:jc w:val="center"/>
        </w:trPr>
        <w:tc>
          <w:tcPr>
            <w:tcW w:w="3500" w:type="dxa"/>
            <w:tcBorders>
              <w:top w:val="nil"/>
              <w:left w:val="single" w:color="auto" w:sz="4" w:space="0"/>
              <w:bottom w:val="single" w:color="auto" w:sz="4" w:space="0"/>
              <w:right w:val="single" w:color="auto" w:sz="4" w:space="0"/>
            </w:tcBorders>
            <w:vAlign w:val="top"/>
          </w:tcPr>
          <w:p>
            <w:pPr>
              <w:widowControl/>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45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color w:val="000000"/>
                <w:kern w:val="0"/>
                <w:sz w:val="21"/>
                <w:szCs w:val="21"/>
                <w:u w:val="none"/>
                <w:lang w:val="en-US" w:eastAsia="zh-CN" w:bidi="ar"/>
              </w:rPr>
              <w:t>8</w:t>
            </w:r>
          </w:p>
        </w:tc>
        <w:tc>
          <w:tcPr>
            <w:tcW w:w="1214" w:type="dxa"/>
            <w:tcBorders>
              <w:top w:val="nil"/>
              <w:left w:val="nil"/>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35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八、社会保障和就业支出</w:t>
            </w:r>
          </w:p>
        </w:tc>
        <w:tc>
          <w:tcPr>
            <w:tcW w:w="70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39</w:t>
            </w:r>
          </w:p>
        </w:tc>
        <w:tc>
          <w:tcPr>
            <w:tcW w:w="129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4.77</w:t>
            </w:r>
          </w:p>
        </w:tc>
        <w:tc>
          <w:tcPr>
            <w:tcW w:w="146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4.77</w:t>
            </w:r>
          </w:p>
        </w:tc>
        <w:tc>
          <w:tcPr>
            <w:tcW w:w="1612" w:type="dxa"/>
            <w:tcBorders>
              <w:top w:val="nil"/>
              <w:left w:val="nil"/>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w:t>
            </w:r>
          </w:p>
        </w:tc>
      </w:tr>
      <w:tr>
        <w:tblPrEx>
          <w:tblCellMar>
            <w:top w:w="0" w:type="dxa"/>
            <w:left w:w="108" w:type="dxa"/>
            <w:bottom w:w="0" w:type="dxa"/>
            <w:right w:w="108" w:type="dxa"/>
          </w:tblCellMar>
        </w:tblPrEx>
        <w:trPr>
          <w:trHeight w:val="170" w:hRule="atLeast"/>
          <w:jc w:val="center"/>
        </w:trPr>
        <w:tc>
          <w:tcPr>
            <w:tcW w:w="3500" w:type="dxa"/>
            <w:tcBorders>
              <w:top w:val="nil"/>
              <w:left w:val="single" w:color="auto" w:sz="4" w:space="0"/>
              <w:bottom w:val="single" w:color="auto" w:sz="4" w:space="0"/>
              <w:right w:val="single" w:color="auto" w:sz="4" w:space="0"/>
            </w:tcBorders>
            <w:vAlign w:val="top"/>
          </w:tcPr>
          <w:p>
            <w:pPr>
              <w:widowControl/>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45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color w:val="000000"/>
                <w:kern w:val="0"/>
                <w:sz w:val="21"/>
                <w:szCs w:val="21"/>
                <w:u w:val="none"/>
                <w:lang w:val="en-US" w:eastAsia="zh-CN" w:bidi="ar"/>
              </w:rPr>
              <w:t>9</w:t>
            </w:r>
          </w:p>
        </w:tc>
        <w:tc>
          <w:tcPr>
            <w:tcW w:w="1214" w:type="dxa"/>
            <w:tcBorders>
              <w:top w:val="nil"/>
              <w:left w:val="nil"/>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35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九、卫生健康支出</w:t>
            </w:r>
          </w:p>
        </w:tc>
        <w:tc>
          <w:tcPr>
            <w:tcW w:w="70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40</w:t>
            </w:r>
          </w:p>
        </w:tc>
        <w:tc>
          <w:tcPr>
            <w:tcW w:w="129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1.23</w:t>
            </w:r>
          </w:p>
        </w:tc>
        <w:tc>
          <w:tcPr>
            <w:tcW w:w="146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1.23</w:t>
            </w:r>
          </w:p>
        </w:tc>
        <w:tc>
          <w:tcPr>
            <w:tcW w:w="1612" w:type="dxa"/>
            <w:tcBorders>
              <w:top w:val="nil"/>
              <w:left w:val="nil"/>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w:t>
            </w:r>
          </w:p>
        </w:tc>
      </w:tr>
      <w:tr>
        <w:tblPrEx>
          <w:tblCellMar>
            <w:top w:w="0" w:type="dxa"/>
            <w:left w:w="108" w:type="dxa"/>
            <w:bottom w:w="0" w:type="dxa"/>
            <w:right w:w="108" w:type="dxa"/>
          </w:tblCellMar>
        </w:tblPrEx>
        <w:trPr>
          <w:trHeight w:val="170" w:hRule="atLeast"/>
          <w:jc w:val="center"/>
        </w:trPr>
        <w:tc>
          <w:tcPr>
            <w:tcW w:w="3500" w:type="dxa"/>
            <w:tcBorders>
              <w:top w:val="nil"/>
              <w:left w:val="single" w:color="auto" w:sz="4" w:space="0"/>
              <w:bottom w:val="single" w:color="auto" w:sz="4" w:space="0"/>
              <w:right w:val="single" w:color="auto" w:sz="4" w:space="0"/>
            </w:tcBorders>
            <w:vAlign w:val="top"/>
          </w:tcPr>
          <w:p>
            <w:pPr>
              <w:widowControl/>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45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color w:val="000000"/>
                <w:kern w:val="0"/>
                <w:sz w:val="21"/>
                <w:szCs w:val="21"/>
                <w:u w:val="none"/>
                <w:lang w:val="en-US" w:eastAsia="zh-CN" w:bidi="ar"/>
              </w:rPr>
              <w:t>10</w:t>
            </w:r>
          </w:p>
        </w:tc>
        <w:tc>
          <w:tcPr>
            <w:tcW w:w="1214" w:type="dxa"/>
            <w:tcBorders>
              <w:top w:val="nil"/>
              <w:left w:val="nil"/>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35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十、节能环保支出</w:t>
            </w:r>
          </w:p>
        </w:tc>
        <w:tc>
          <w:tcPr>
            <w:tcW w:w="70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41</w:t>
            </w:r>
          </w:p>
        </w:tc>
        <w:tc>
          <w:tcPr>
            <w:tcW w:w="129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46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612" w:type="dxa"/>
            <w:tcBorders>
              <w:top w:val="nil"/>
              <w:left w:val="nil"/>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w:t>
            </w:r>
          </w:p>
        </w:tc>
      </w:tr>
      <w:tr>
        <w:tblPrEx>
          <w:tblCellMar>
            <w:top w:w="0" w:type="dxa"/>
            <w:left w:w="108" w:type="dxa"/>
            <w:bottom w:w="0" w:type="dxa"/>
            <w:right w:w="108" w:type="dxa"/>
          </w:tblCellMar>
        </w:tblPrEx>
        <w:trPr>
          <w:trHeight w:val="170" w:hRule="atLeast"/>
          <w:jc w:val="center"/>
        </w:trPr>
        <w:tc>
          <w:tcPr>
            <w:tcW w:w="3500" w:type="dxa"/>
            <w:tcBorders>
              <w:top w:val="nil"/>
              <w:left w:val="single" w:color="auto" w:sz="4" w:space="0"/>
              <w:bottom w:val="single" w:color="auto" w:sz="4" w:space="0"/>
              <w:right w:val="single" w:color="auto" w:sz="4" w:space="0"/>
            </w:tcBorders>
            <w:vAlign w:val="top"/>
          </w:tcPr>
          <w:p>
            <w:pPr>
              <w:widowControl/>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45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color w:val="000000"/>
                <w:kern w:val="0"/>
                <w:sz w:val="21"/>
                <w:szCs w:val="21"/>
                <w:u w:val="none"/>
                <w:lang w:val="en-US" w:eastAsia="zh-CN" w:bidi="ar"/>
              </w:rPr>
              <w:t>11</w:t>
            </w:r>
          </w:p>
        </w:tc>
        <w:tc>
          <w:tcPr>
            <w:tcW w:w="1214" w:type="dxa"/>
            <w:tcBorders>
              <w:top w:val="nil"/>
              <w:left w:val="nil"/>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35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十一、城乡社区支出</w:t>
            </w:r>
          </w:p>
        </w:tc>
        <w:tc>
          <w:tcPr>
            <w:tcW w:w="70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42</w:t>
            </w:r>
          </w:p>
        </w:tc>
        <w:tc>
          <w:tcPr>
            <w:tcW w:w="129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46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612"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CellMar>
            <w:top w:w="0" w:type="dxa"/>
            <w:left w:w="108" w:type="dxa"/>
            <w:bottom w:w="0" w:type="dxa"/>
            <w:right w:w="108" w:type="dxa"/>
          </w:tblCellMar>
        </w:tblPrEx>
        <w:trPr>
          <w:trHeight w:val="170" w:hRule="atLeast"/>
          <w:jc w:val="center"/>
        </w:trPr>
        <w:tc>
          <w:tcPr>
            <w:tcW w:w="3500" w:type="dxa"/>
            <w:tcBorders>
              <w:top w:val="nil"/>
              <w:left w:val="single" w:color="auto" w:sz="4" w:space="0"/>
              <w:bottom w:val="single" w:color="auto" w:sz="4" w:space="0"/>
              <w:right w:val="single" w:color="auto" w:sz="4" w:space="0"/>
            </w:tcBorders>
            <w:vAlign w:val="top"/>
          </w:tcPr>
          <w:p>
            <w:pPr>
              <w:widowControl/>
              <w:ind w:firstLine="1400" w:firstLineChars="700"/>
              <w:jc w:val="left"/>
              <w:rPr>
                <w:rFonts w:hint="default" w:ascii="Times New Roman" w:hAnsi="Times New Roman" w:cs="Times New Roman"/>
                <w:color w:val="000000"/>
                <w:kern w:val="0"/>
                <w:sz w:val="20"/>
                <w:szCs w:val="20"/>
              </w:rPr>
            </w:pPr>
          </w:p>
        </w:tc>
        <w:tc>
          <w:tcPr>
            <w:tcW w:w="45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color w:val="000000"/>
                <w:kern w:val="0"/>
                <w:sz w:val="21"/>
                <w:szCs w:val="21"/>
                <w:u w:val="none"/>
                <w:lang w:val="en-US" w:eastAsia="zh-CN" w:bidi="ar"/>
              </w:rPr>
              <w:t>12</w:t>
            </w:r>
          </w:p>
        </w:tc>
        <w:tc>
          <w:tcPr>
            <w:tcW w:w="1214" w:type="dxa"/>
            <w:tcBorders>
              <w:top w:val="nil"/>
              <w:left w:val="nil"/>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35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十二、农林水支出</w:t>
            </w:r>
          </w:p>
        </w:tc>
        <w:tc>
          <w:tcPr>
            <w:tcW w:w="70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43</w:t>
            </w:r>
          </w:p>
        </w:tc>
        <w:tc>
          <w:tcPr>
            <w:tcW w:w="129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46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612"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CellMar>
            <w:top w:w="0" w:type="dxa"/>
            <w:left w:w="108" w:type="dxa"/>
            <w:bottom w:w="0" w:type="dxa"/>
            <w:right w:w="108" w:type="dxa"/>
          </w:tblCellMar>
        </w:tblPrEx>
        <w:trPr>
          <w:trHeight w:val="170" w:hRule="atLeast"/>
          <w:jc w:val="center"/>
        </w:trPr>
        <w:tc>
          <w:tcPr>
            <w:tcW w:w="3500" w:type="dxa"/>
            <w:tcBorders>
              <w:top w:val="nil"/>
              <w:left w:val="single" w:color="auto" w:sz="4" w:space="0"/>
              <w:bottom w:val="single" w:color="auto" w:sz="4" w:space="0"/>
              <w:right w:val="single" w:color="auto" w:sz="4" w:space="0"/>
            </w:tcBorders>
            <w:vAlign w:val="top"/>
          </w:tcPr>
          <w:p>
            <w:pPr>
              <w:widowControl/>
              <w:ind w:firstLine="800" w:firstLineChars="400"/>
              <w:jc w:val="left"/>
              <w:rPr>
                <w:rFonts w:hint="default" w:ascii="Times New Roman" w:hAnsi="Times New Roman" w:cs="Times New Roman"/>
                <w:color w:val="000000"/>
                <w:kern w:val="0"/>
                <w:sz w:val="20"/>
                <w:szCs w:val="20"/>
              </w:rPr>
            </w:pPr>
          </w:p>
        </w:tc>
        <w:tc>
          <w:tcPr>
            <w:tcW w:w="45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color w:val="000000"/>
                <w:kern w:val="0"/>
                <w:sz w:val="21"/>
                <w:szCs w:val="21"/>
                <w:u w:val="none"/>
                <w:lang w:val="en-US" w:eastAsia="zh-CN" w:bidi="ar"/>
              </w:rPr>
              <w:t>13</w:t>
            </w:r>
          </w:p>
        </w:tc>
        <w:tc>
          <w:tcPr>
            <w:tcW w:w="1214" w:type="dxa"/>
            <w:tcBorders>
              <w:top w:val="nil"/>
              <w:left w:val="nil"/>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35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十三、交通运输支出</w:t>
            </w:r>
          </w:p>
        </w:tc>
        <w:tc>
          <w:tcPr>
            <w:tcW w:w="70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44</w:t>
            </w:r>
          </w:p>
        </w:tc>
        <w:tc>
          <w:tcPr>
            <w:tcW w:w="129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46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612"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CellMar>
            <w:top w:w="0" w:type="dxa"/>
            <w:left w:w="108" w:type="dxa"/>
            <w:bottom w:w="0" w:type="dxa"/>
            <w:right w:w="108" w:type="dxa"/>
          </w:tblCellMar>
        </w:tblPrEx>
        <w:trPr>
          <w:trHeight w:val="170" w:hRule="atLeast"/>
          <w:jc w:val="center"/>
        </w:trPr>
        <w:tc>
          <w:tcPr>
            <w:tcW w:w="3500" w:type="dxa"/>
            <w:tcBorders>
              <w:top w:val="nil"/>
              <w:left w:val="single" w:color="auto" w:sz="4" w:space="0"/>
              <w:bottom w:val="single" w:color="auto" w:sz="4" w:space="0"/>
              <w:right w:val="single" w:color="auto" w:sz="4" w:space="0"/>
            </w:tcBorders>
            <w:vAlign w:val="top"/>
          </w:tcPr>
          <w:p>
            <w:pPr>
              <w:widowControl/>
              <w:ind w:firstLine="1400" w:firstLineChars="700"/>
              <w:jc w:val="left"/>
              <w:rPr>
                <w:rFonts w:hint="default" w:ascii="Times New Roman" w:hAnsi="Times New Roman" w:cs="Times New Roman"/>
                <w:kern w:val="0"/>
                <w:sz w:val="20"/>
                <w:szCs w:val="20"/>
              </w:rPr>
            </w:pPr>
          </w:p>
        </w:tc>
        <w:tc>
          <w:tcPr>
            <w:tcW w:w="45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color w:val="000000"/>
                <w:kern w:val="0"/>
                <w:sz w:val="21"/>
                <w:szCs w:val="21"/>
                <w:u w:val="none"/>
                <w:lang w:val="en-US" w:eastAsia="zh-CN" w:bidi="ar"/>
              </w:rPr>
              <w:t>14</w:t>
            </w:r>
          </w:p>
        </w:tc>
        <w:tc>
          <w:tcPr>
            <w:tcW w:w="1214" w:type="dxa"/>
            <w:tcBorders>
              <w:top w:val="nil"/>
              <w:left w:val="nil"/>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35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十四、资源勘探信息等支出</w:t>
            </w:r>
          </w:p>
        </w:tc>
        <w:tc>
          <w:tcPr>
            <w:tcW w:w="70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45</w:t>
            </w:r>
          </w:p>
        </w:tc>
        <w:tc>
          <w:tcPr>
            <w:tcW w:w="129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46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612"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CellMar>
            <w:top w:w="0" w:type="dxa"/>
            <w:left w:w="108" w:type="dxa"/>
            <w:bottom w:w="0" w:type="dxa"/>
            <w:right w:w="108" w:type="dxa"/>
          </w:tblCellMar>
        </w:tblPrEx>
        <w:trPr>
          <w:trHeight w:val="170" w:hRule="atLeast"/>
          <w:jc w:val="center"/>
        </w:trPr>
        <w:tc>
          <w:tcPr>
            <w:tcW w:w="3500" w:type="dxa"/>
            <w:tcBorders>
              <w:top w:val="nil"/>
              <w:left w:val="single" w:color="auto" w:sz="4" w:space="0"/>
              <w:bottom w:val="single" w:color="auto" w:sz="4" w:space="0"/>
              <w:right w:val="single" w:color="auto" w:sz="4" w:space="0"/>
            </w:tcBorders>
            <w:vAlign w:val="top"/>
          </w:tcPr>
          <w:p>
            <w:pPr>
              <w:widowControl/>
              <w:ind w:firstLine="1400" w:firstLineChars="700"/>
              <w:jc w:val="left"/>
              <w:rPr>
                <w:rFonts w:hint="default" w:ascii="Times New Roman" w:hAnsi="Times New Roman" w:cs="Times New Roman"/>
                <w:color w:val="000000"/>
                <w:kern w:val="0"/>
                <w:sz w:val="20"/>
                <w:szCs w:val="20"/>
              </w:rPr>
            </w:pPr>
          </w:p>
        </w:tc>
        <w:tc>
          <w:tcPr>
            <w:tcW w:w="45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color w:val="000000"/>
                <w:kern w:val="0"/>
                <w:sz w:val="21"/>
                <w:szCs w:val="21"/>
                <w:u w:val="none"/>
                <w:lang w:val="en-US" w:eastAsia="zh-CN" w:bidi="ar"/>
              </w:rPr>
              <w:t>15</w:t>
            </w:r>
          </w:p>
        </w:tc>
        <w:tc>
          <w:tcPr>
            <w:tcW w:w="1214" w:type="dxa"/>
            <w:tcBorders>
              <w:top w:val="nil"/>
              <w:left w:val="nil"/>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35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十五、商业服务业等支出</w:t>
            </w:r>
          </w:p>
        </w:tc>
        <w:tc>
          <w:tcPr>
            <w:tcW w:w="70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46</w:t>
            </w:r>
          </w:p>
        </w:tc>
        <w:tc>
          <w:tcPr>
            <w:tcW w:w="129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46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612"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CellMar>
            <w:top w:w="0" w:type="dxa"/>
            <w:left w:w="108" w:type="dxa"/>
            <w:bottom w:w="0" w:type="dxa"/>
            <w:right w:w="108" w:type="dxa"/>
          </w:tblCellMar>
        </w:tblPrEx>
        <w:trPr>
          <w:trHeight w:val="90" w:hRule="atLeast"/>
          <w:jc w:val="center"/>
        </w:trPr>
        <w:tc>
          <w:tcPr>
            <w:tcW w:w="3500" w:type="dxa"/>
            <w:tcBorders>
              <w:top w:val="nil"/>
              <w:left w:val="single" w:color="auto" w:sz="4" w:space="0"/>
              <w:bottom w:val="single" w:color="auto" w:sz="4" w:space="0"/>
              <w:right w:val="single" w:color="auto" w:sz="4" w:space="0"/>
            </w:tcBorders>
            <w:vAlign w:val="top"/>
          </w:tcPr>
          <w:p>
            <w:pPr>
              <w:widowControl/>
              <w:jc w:val="left"/>
              <w:rPr>
                <w:rFonts w:hint="default" w:ascii="Times New Roman" w:hAnsi="Times New Roman" w:cs="Times New Roman"/>
                <w:color w:val="000000"/>
                <w:kern w:val="0"/>
                <w:sz w:val="20"/>
                <w:szCs w:val="20"/>
              </w:rPr>
            </w:pPr>
          </w:p>
        </w:tc>
        <w:tc>
          <w:tcPr>
            <w:tcW w:w="45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color w:val="000000"/>
                <w:kern w:val="0"/>
                <w:sz w:val="21"/>
                <w:szCs w:val="21"/>
                <w:u w:val="none"/>
                <w:lang w:val="en-US" w:eastAsia="zh-CN" w:bidi="ar"/>
              </w:rPr>
              <w:t>16</w:t>
            </w:r>
          </w:p>
        </w:tc>
        <w:tc>
          <w:tcPr>
            <w:tcW w:w="1214" w:type="dxa"/>
            <w:tcBorders>
              <w:top w:val="nil"/>
              <w:left w:val="nil"/>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35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十六、金融支出</w:t>
            </w:r>
          </w:p>
        </w:tc>
        <w:tc>
          <w:tcPr>
            <w:tcW w:w="70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47</w:t>
            </w:r>
          </w:p>
        </w:tc>
        <w:tc>
          <w:tcPr>
            <w:tcW w:w="129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46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612" w:type="dxa"/>
            <w:tcBorders>
              <w:top w:val="single" w:color="auto" w:sz="4" w:space="0"/>
              <w:left w:val="nil"/>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CellMar>
            <w:top w:w="0" w:type="dxa"/>
            <w:left w:w="108" w:type="dxa"/>
            <w:bottom w:w="0" w:type="dxa"/>
            <w:right w:w="108" w:type="dxa"/>
          </w:tblCellMar>
        </w:tblPrEx>
        <w:trPr>
          <w:trHeight w:val="315" w:hRule="atLeast"/>
          <w:jc w:val="center"/>
        </w:trPr>
        <w:tc>
          <w:tcPr>
            <w:tcW w:w="3500"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Times New Roman" w:hAnsi="Times New Roman" w:cs="Times New Roman"/>
                <w:color w:val="000000"/>
                <w:kern w:val="0"/>
                <w:sz w:val="20"/>
                <w:szCs w:val="20"/>
              </w:rPr>
            </w:pPr>
          </w:p>
        </w:tc>
        <w:tc>
          <w:tcPr>
            <w:tcW w:w="4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color w:val="000000"/>
                <w:kern w:val="0"/>
                <w:sz w:val="21"/>
                <w:szCs w:val="21"/>
                <w:u w:val="none"/>
                <w:lang w:val="en-US" w:eastAsia="zh-CN" w:bidi="ar"/>
              </w:rPr>
              <w:t>17</w:t>
            </w:r>
          </w:p>
        </w:tc>
        <w:tc>
          <w:tcPr>
            <w:tcW w:w="1214"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35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十七、援助其他地区支出</w:t>
            </w:r>
          </w:p>
        </w:tc>
        <w:tc>
          <w:tcPr>
            <w:tcW w:w="7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48</w:t>
            </w:r>
          </w:p>
        </w:tc>
        <w:tc>
          <w:tcPr>
            <w:tcW w:w="12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4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612"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CellMar>
            <w:top w:w="0" w:type="dxa"/>
            <w:left w:w="108" w:type="dxa"/>
            <w:bottom w:w="0" w:type="dxa"/>
            <w:right w:w="108" w:type="dxa"/>
          </w:tblCellMar>
        </w:tblPrEx>
        <w:trPr>
          <w:trHeight w:val="170" w:hRule="atLeast"/>
          <w:jc w:val="center"/>
        </w:trPr>
        <w:tc>
          <w:tcPr>
            <w:tcW w:w="3500"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Times New Roman" w:hAnsi="Times New Roman" w:cs="Times New Roman"/>
                <w:kern w:val="0"/>
                <w:sz w:val="20"/>
                <w:szCs w:val="20"/>
              </w:rPr>
            </w:pPr>
          </w:p>
        </w:tc>
        <w:tc>
          <w:tcPr>
            <w:tcW w:w="4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color w:val="000000"/>
                <w:kern w:val="0"/>
                <w:sz w:val="21"/>
                <w:szCs w:val="21"/>
                <w:u w:val="none"/>
                <w:lang w:val="en-US" w:eastAsia="zh-CN" w:bidi="ar"/>
              </w:rPr>
              <w:t>18</w:t>
            </w:r>
          </w:p>
        </w:tc>
        <w:tc>
          <w:tcPr>
            <w:tcW w:w="1214"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35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十八、自然资源海洋气象等支出</w:t>
            </w:r>
          </w:p>
        </w:tc>
        <w:tc>
          <w:tcPr>
            <w:tcW w:w="7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49</w:t>
            </w:r>
          </w:p>
        </w:tc>
        <w:tc>
          <w:tcPr>
            <w:tcW w:w="12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4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612"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CellMar>
            <w:top w:w="0" w:type="dxa"/>
            <w:left w:w="108" w:type="dxa"/>
            <w:bottom w:w="0" w:type="dxa"/>
            <w:right w:w="108" w:type="dxa"/>
          </w:tblCellMar>
        </w:tblPrEx>
        <w:trPr>
          <w:trHeight w:val="170" w:hRule="atLeast"/>
          <w:jc w:val="center"/>
        </w:trPr>
        <w:tc>
          <w:tcPr>
            <w:tcW w:w="3500"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Times New Roman" w:hAnsi="Times New Roman" w:cs="Times New Roman"/>
                <w:kern w:val="0"/>
                <w:sz w:val="20"/>
                <w:szCs w:val="20"/>
              </w:rPr>
            </w:pPr>
          </w:p>
        </w:tc>
        <w:tc>
          <w:tcPr>
            <w:tcW w:w="4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color w:val="000000"/>
                <w:kern w:val="0"/>
                <w:sz w:val="21"/>
                <w:szCs w:val="21"/>
                <w:u w:val="none"/>
                <w:lang w:val="en-US" w:eastAsia="zh-CN" w:bidi="ar"/>
              </w:rPr>
              <w:t>19</w:t>
            </w:r>
          </w:p>
        </w:tc>
        <w:tc>
          <w:tcPr>
            <w:tcW w:w="1214"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p>
        </w:tc>
        <w:tc>
          <w:tcPr>
            <w:tcW w:w="35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十九、住房保障支出</w:t>
            </w:r>
          </w:p>
        </w:tc>
        <w:tc>
          <w:tcPr>
            <w:tcW w:w="7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50</w:t>
            </w:r>
          </w:p>
        </w:tc>
        <w:tc>
          <w:tcPr>
            <w:tcW w:w="12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3.00</w:t>
            </w:r>
          </w:p>
        </w:tc>
        <w:tc>
          <w:tcPr>
            <w:tcW w:w="14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3.00</w:t>
            </w:r>
          </w:p>
        </w:tc>
        <w:tc>
          <w:tcPr>
            <w:tcW w:w="1612"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CellMar>
            <w:top w:w="0" w:type="dxa"/>
            <w:left w:w="108" w:type="dxa"/>
            <w:bottom w:w="0" w:type="dxa"/>
            <w:right w:w="108" w:type="dxa"/>
          </w:tblCellMar>
        </w:tblPrEx>
        <w:trPr>
          <w:trHeight w:val="170" w:hRule="atLeast"/>
          <w:jc w:val="center"/>
        </w:trPr>
        <w:tc>
          <w:tcPr>
            <w:tcW w:w="350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4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w:t>
            </w:r>
          </w:p>
        </w:tc>
        <w:tc>
          <w:tcPr>
            <w:tcW w:w="1214"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35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二十、粮油物资储备支出</w:t>
            </w:r>
          </w:p>
        </w:tc>
        <w:tc>
          <w:tcPr>
            <w:tcW w:w="7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51</w:t>
            </w:r>
          </w:p>
        </w:tc>
        <w:tc>
          <w:tcPr>
            <w:tcW w:w="12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4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612" w:type="dxa"/>
            <w:tcBorders>
              <w:top w:val="single" w:color="auto" w:sz="4" w:space="0"/>
              <w:left w:val="single" w:color="auto" w:sz="4" w:space="0"/>
              <w:bottom w:val="single" w:color="auto" w:sz="4" w:space="0"/>
              <w:right w:val="single" w:color="auto" w:sz="4" w:space="0"/>
            </w:tcBorders>
            <w:vAlign w:val="top"/>
          </w:tcPr>
          <w:p>
            <w:pPr>
              <w:widowControl/>
              <w:ind w:firstLine="600" w:firstLineChars="300"/>
              <w:jc w:val="left"/>
              <w:rPr>
                <w:rFonts w:hint="default" w:ascii="Times New Roman" w:hAnsi="Times New Roman" w:cs="Times New Roman"/>
                <w:color w:val="000000"/>
                <w:kern w:val="0"/>
                <w:sz w:val="20"/>
                <w:szCs w:val="20"/>
              </w:rPr>
            </w:pPr>
          </w:p>
        </w:tc>
      </w:tr>
      <w:tr>
        <w:tblPrEx>
          <w:tblCellMar>
            <w:top w:w="0" w:type="dxa"/>
            <w:left w:w="108" w:type="dxa"/>
            <w:bottom w:w="0" w:type="dxa"/>
            <w:right w:w="108" w:type="dxa"/>
          </w:tblCellMar>
        </w:tblPrEx>
        <w:trPr>
          <w:trHeight w:val="170" w:hRule="atLeast"/>
          <w:jc w:val="center"/>
        </w:trPr>
        <w:tc>
          <w:tcPr>
            <w:tcW w:w="350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4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21</w:t>
            </w:r>
          </w:p>
        </w:tc>
        <w:tc>
          <w:tcPr>
            <w:tcW w:w="1214"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35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二十一、灾害防治及应急管理支出</w:t>
            </w:r>
          </w:p>
        </w:tc>
        <w:tc>
          <w:tcPr>
            <w:tcW w:w="7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52</w:t>
            </w:r>
          </w:p>
        </w:tc>
        <w:tc>
          <w:tcPr>
            <w:tcW w:w="12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4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612" w:type="dxa"/>
            <w:tcBorders>
              <w:top w:val="single" w:color="auto" w:sz="4" w:space="0"/>
              <w:left w:val="single" w:color="auto" w:sz="4" w:space="0"/>
              <w:bottom w:val="single" w:color="auto" w:sz="4" w:space="0"/>
              <w:right w:val="single" w:color="auto" w:sz="4" w:space="0"/>
            </w:tcBorders>
            <w:vAlign w:val="top"/>
          </w:tcPr>
          <w:p>
            <w:pPr>
              <w:widowControl/>
              <w:ind w:firstLine="600" w:firstLineChars="300"/>
              <w:jc w:val="left"/>
              <w:rPr>
                <w:rFonts w:hint="default" w:ascii="Times New Roman" w:hAnsi="Times New Roman" w:cs="Times New Roman"/>
                <w:color w:val="000000"/>
                <w:kern w:val="0"/>
                <w:sz w:val="20"/>
                <w:szCs w:val="20"/>
              </w:rPr>
            </w:pPr>
          </w:p>
        </w:tc>
      </w:tr>
      <w:tr>
        <w:tblPrEx>
          <w:tblCellMar>
            <w:top w:w="0" w:type="dxa"/>
            <w:left w:w="108" w:type="dxa"/>
            <w:bottom w:w="0" w:type="dxa"/>
            <w:right w:w="108" w:type="dxa"/>
          </w:tblCellMar>
        </w:tblPrEx>
        <w:trPr>
          <w:trHeight w:val="170" w:hRule="atLeast"/>
          <w:jc w:val="center"/>
        </w:trPr>
        <w:tc>
          <w:tcPr>
            <w:tcW w:w="350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4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22</w:t>
            </w:r>
          </w:p>
        </w:tc>
        <w:tc>
          <w:tcPr>
            <w:tcW w:w="1214"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35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二十二、其他支出</w:t>
            </w:r>
          </w:p>
        </w:tc>
        <w:tc>
          <w:tcPr>
            <w:tcW w:w="7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53</w:t>
            </w:r>
          </w:p>
        </w:tc>
        <w:tc>
          <w:tcPr>
            <w:tcW w:w="12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4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612" w:type="dxa"/>
            <w:tcBorders>
              <w:top w:val="single" w:color="auto" w:sz="4" w:space="0"/>
              <w:left w:val="single" w:color="auto" w:sz="4" w:space="0"/>
              <w:bottom w:val="single" w:color="auto" w:sz="4" w:space="0"/>
              <w:right w:val="single" w:color="auto" w:sz="4" w:space="0"/>
            </w:tcBorders>
            <w:vAlign w:val="top"/>
          </w:tcPr>
          <w:p>
            <w:pPr>
              <w:widowControl/>
              <w:ind w:firstLine="600" w:firstLineChars="300"/>
              <w:jc w:val="left"/>
              <w:rPr>
                <w:rFonts w:hint="default" w:ascii="Times New Roman" w:hAnsi="Times New Roman" w:cs="Times New Roman"/>
                <w:color w:val="000000"/>
                <w:kern w:val="0"/>
                <w:sz w:val="20"/>
                <w:szCs w:val="20"/>
              </w:rPr>
            </w:pPr>
          </w:p>
        </w:tc>
      </w:tr>
      <w:tr>
        <w:tblPrEx>
          <w:tblCellMar>
            <w:top w:w="0" w:type="dxa"/>
            <w:left w:w="108" w:type="dxa"/>
            <w:bottom w:w="0" w:type="dxa"/>
            <w:right w:w="108" w:type="dxa"/>
          </w:tblCellMar>
        </w:tblPrEx>
        <w:trPr>
          <w:trHeight w:val="170" w:hRule="atLeast"/>
          <w:jc w:val="center"/>
        </w:trPr>
        <w:tc>
          <w:tcPr>
            <w:tcW w:w="350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4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23</w:t>
            </w:r>
          </w:p>
        </w:tc>
        <w:tc>
          <w:tcPr>
            <w:tcW w:w="1214"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35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color w:val="000000"/>
                <w:kern w:val="0"/>
                <w:sz w:val="20"/>
                <w:szCs w:val="20"/>
                <w:lang w:val="en-US" w:eastAsia="zh-CN" w:bidi="ar-SA"/>
              </w:rPr>
            </w:pPr>
            <w:r>
              <w:rPr>
                <w:rFonts w:hint="default" w:ascii="Times New Roman" w:hAnsi="Times New Roman" w:eastAsia="宋体" w:cs="Times New Roman"/>
                <w:i w:val="0"/>
                <w:color w:val="000000"/>
                <w:kern w:val="0"/>
                <w:sz w:val="20"/>
                <w:szCs w:val="20"/>
                <w:u w:val="none"/>
                <w:lang w:val="en-US" w:eastAsia="zh-CN" w:bidi="ar"/>
              </w:rPr>
              <w:t>二十三、债务还本支出</w:t>
            </w:r>
          </w:p>
        </w:tc>
        <w:tc>
          <w:tcPr>
            <w:tcW w:w="7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54</w:t>
            </w:r>
          </w:p>
        </w:tc>
        <w:tc>
          <w:tcPr>
            <w:tcW w:w="12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4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612" w:type="dxa"/>
            <w:tcBorders>
              <w:top w:val="single" w:color="auto" w:sz="4" w:space="0"/>
              <w:left w:val="single" w:color="auto" w:sz="4" w:space="0"/>
              <w:bottom w:val="single" w:color="auto" w:sz="4" w:space="0"/>
              <w:right w:val="single" w:color="auto" w:sz="4" w:space="0"/>
            </w:tcBorders>
            <w:vAlign w:val="top"/>
          </w:tcPr>
          <w:p>
            <w:pPr>
              <w:widowControl/>
              <w:ind w:firstLine="800" w:firstLineChars="400"/>
              <w:jc w:val="left"/>
              <w:rPr>
                <w:rFonts w:hint="default" w:ascii="Times New Roman" w:hAnsi="Times New Roman" w:cs="Times New Roman"/>
                <w:color w:val="000000"/>
                <w:kern w:val="0"/>
                <w:sz w:val="20"/>
                <w:szCs w:val="20"/>
              </w:rPr>
            </w:pPr>
          </w:p>
        </w:tc>
      </w:tr>
      <w:tr>
        <w:tblPrEx>
          <w:tblCellMar>
            <w:top w:w="0" w:type="dxa"/>
            <w:left w:w="108" w:type="dxa"/>
            <w:bottom w:w="0" w:type="dxa"/>
            <w:right w:w="108" w:type="dxa"/>
          </w:tblCellMar>
        </w:tblPrEx>
        <w:trPr>
          <w:trHeight w:val="170" w:hRule="atLeast"/>
          <w:jc w:val="center"/>
        </w:trPr>
        <w:tc>
          <w:tcPr>
            <w:tcW w:w="350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4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24</w:t>
            </w:r>
          </w:p>
        </w:tc>
        <w:tc>
          <w:tcPr>
            <w:tcW w:w="1214"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35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color w:val="000000"/>
                <w:kern w:val="0"/>
                <w:sz w:val="20"/>
                <w:szCs w:val="20"/>
                <w:lang w:val="en-US" w:eastAsia="zh-CN" w:bidi="ar-SA"/>
              </w:rPr>
            </w:pPr>
            <w:r>
              <w:rPr>
                <w:rFonts w:hint="default" w:ascii="Times New Roman" w:hAnsi="Times New Roman" w:eastAsia="宋体" w:cs="Times New Roman"/>
                <w:i w:val="0"/>
                <w:color w:val="000000"/>
                <w:kern w:val="0"/>
                <w:sz w:val="20"/>
                <w:szCs w:val="20"/>
                <w:u w:val="none"/>
                <w:lang w:val="en-US" w:eastAsia="zh-CN" w:bidi="ar"/>
              </w:rPr>
              <w:t>二十四、债务付息支出</w:t>
            </w:r>
          </w:p>
        </w:tc>
        <w:tc>
          <w:tcPr>
            <w:tcW w:w="7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55</w:t>
            </w:r>
          </w:p>
        </w:tc>
        <w:tc>
          <w:tcPr>
            <w:tcW w:w="12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4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612" w:type="dxa"/>
            <w:tcBorders>
              <w:top w:val="single" w:color="auto" w:sz="4" w:space="0"/>
              <w:left w:val="single" w:color="auto" w:sz="4" w:space="0"/>
              <w:bottom w:val="single" w:color="auto" w:sz="4" w:space="0"/>
              <w:right w:val="single" w:color="auto" w:sz="4" w:space="0"/>
            </w:tcBorders>
            <w:vAlign w:val="top"/>
          </w:tcPr>
          <w:p>
            <w:pPr>
              <w:widowControl/>
              <w:ind w:firstLine="600" w:firstLineChars="300"/>
              <w:jc w:val="left"/>
              <w:rPr>
                <w:rFonts w:hint="default" w:ascii="Times New Roman" w:hAnsi="Times New Roman" w:cs="Times New Roman"/>
                <w:color w:val="000000"/>
                <w:kern w:val="0"/>
                <w:sz w:val="20"/>
                <w:szCs w:val="20"/>
              </w:rPr>
            </w:pPr>
          </w:p>
        </w:tc>
      </w:tr>
      <w:tr>
        <w:tblPrEx>
          <w:tblCellMar>
            <w:top w:w="0" w:type="dxa"/>
            <w:left w:w="108" w:type="dxa"/>
            <w:bottom w:w="0" w:type="dxa"/>
            <w:right w:w="108" w:type="dxa"/>
          </w:tblCellMar>
        </w:tblPrEx>
        <w:trPr>
          <w:trHeight w:val="170" w:hRule="atLeast"/>
          <w:jc w:val="center"/>
        </w:trPr>
        <w:tc>
          <w:tcPr>
            <w:tcW w:w="350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4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25</w:t>
            </w:r>
          </w:p>
        </w:tc>
        <w:tc>
          <w:tcPr>
            <w:tcW w:w="1214"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3520" w:type="dxa"/>
            <w:tcBorders>
              <w:top w:val="single" w:color="auto" w:sz="4" w:space="0"/>
              <w:left w:val="single" w:color="auto" w:sz="4" w:space="0"/>
              <w:bottom w:val="single" w:color="auto" w:sz="4" w:space="0"/>
              <w:right w:val="single" w:color="auto" w:sz="4" w:space="0"/>
            </w:tcBorders>
            <w:vAlign w:val="top"/>
          </w:tcPr>
          <w:p>
            <w:pPr>
              <w:widowControl/>
              <w:jc w:val="left"/>
              <w:rPr>
                <w:rFonts w:hint="default" w:ascii="Times New Roman" w:hAnsi="Times New Roman" w:eastAsia="宋体" w:cs="Times New Roman"/>
                <w:color w:val="000000"/>
                <w:kern w:val="0"/>
                <w:sz w:val="20"/>
                <w:szCs w:val="20"/>
                <w:lang w:val="en-US" w:eastAsia="zh-CN" w:bidi="ar-SA"/>
              </w:rPr>
            </w:pPr>
          </w:p>
        </w:tc>
        <w:tc>
          <w:tcPr>
            <w:tcW w:w="7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56</w:t>
            </w:r>
          </w:p>
        </w:tc>
        <w:tc>
          <w:tcPr>
            <w:tcW w:w="1294"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46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612" w:type="dxa"/>
            <w:tcBorders>
              <w:top w:val="single" w:color="auto" w:sz="4" w:space="0"/>
              <w:left w:val="single" w:color="auto" w:sz="4" w:space="0"/>
              <w:bottom w:val="single" w:color="auto" w:sz="4" w:space="0"/>
              <w:right w:val="single" w:color="auto" w:sz="4" w:space="0"/>
            </w:tcBorders>
            <w:vAlign w:val="top"/>
          </w:tcPr>
          <w:p>
            <w:pPr>
              <w:widowControl/>
              <w:ind w:firstLine="600" w:firstLineChars="300"/>
              <w:jc w:val="left"/>
              <w:rPr>
                <w:rFonts w:hint="default" w:ascii="Times New Roman" w:hAnsi="Times New Roman" w:cs="Times New Roman"/>
                <w:color w:val="000000"/>
                <w:kern w:val="0"/>
                <w:sz w:val="20"/>
                <w:szCs w:val="20"/>
              </w:rPr>
            </w:pPr>
          </w:p>
        </w:tc>
      </w:tr>
      <w:tr>
        <w:tblPrEx>
          <w:tblCellMar>
            <w:top w:w="0" w:type="dxa"/>
            <w:left w:w="108" w:type="dxa"/>
            <w:bottom w:w="0" w:type="dxa"/>
            <w:right w:w="108" w:type="dxa"/>
          </w:tblCellMar>
        </w:tblPrEx>
        <w:trPr>
          <w:trHeight w:val="170" w:hRule="atLeast"/>
          <w:jc w:val="center"/>
        </w:trPr>
        <w:tc>
          <w:tcPr>
            <w:tcW w:w="350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本年收入合计</w:t>
            </w:r>
          </w:p>
        </w:tc>
        <w:tc>
          <w:tcPr>
            <w:tcW w:w="4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26</w:t>
            </w:r>
          </w:p>
        </w:tc>
        <w:tc>
          <w:tcPr>
            <w:tcW w:w="12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59.85</w:t>
            </w:r>
          </w:p>
        </w:tc>
        <w:tc>
          <w:tcPr>
            <w:tcW w:w="3520"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Times New Roman" w:hAnsi="Times New Roman" w:eastAsia="宋体" w:cs="Times New Roman"/>
                <w:color w:val="000000"/>
                <w:kern w:val="0"/>
                <w:sz w:val="20"/>
                <w:szCs w:val="20"/>
                <w:lang w:val="en-US" w:eastAsia="zh-CN" w:bidi="ar-SA"/>
              </w:rPr>
            </w:pPr>
            <w:r>
              <w:rPr>
                <w:rFonts w:hint="default" w:ascii="Times New Roman" w:hAnsi="Times New Roman" w:cs="Times New Roman"/>
                <w:kern w:val="0"/>
                <w:sz w:val="20"/>
                <w:szCs w:val="20"/>
              </w:rPr>
              <w:t>本年支出合计</w:t>
            </w:r>
          </w:p>
        </w:tc>
        <w:tc>
          <w:tcPr>
            <w:tcW w:w="7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57</w:t>
            </w:r>
          </w:p>
        </w:tc>
        <w:tc>
          <w:tcPr>
            <w:tcW w:w="12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58.54</w:t>
            </w:r>
          </w:p>
        </w:tc>
        <w:tc>
          <w:tcPr>
            <w:tcW w:w="14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58.54</w:t>
            </w:r>
          </w:p>
        </w:tc>
        <w:tc>
          <w:tcPr>
            <w:tcW w:w="1612" w:type="dxa"/>
            <w:tcBorders>
              <w:top w:val="single" w:color="auto" w:sz="4" w:space="0"/>
              <w:left w:val="single" w:color="auto" w:sz="4" w:space="0"/>
              <w:bottom w:val="single" w:color="auto" w:sz="4" w:space="0"/>
              <w:right w:val="single" w:color="auto" w:sz="4" w:space="0"/>
            </w:tcBorders>
            <w:vAlign w:val="top"/>
          </w:tcPr>
          <w:p>
            <w:pPr>
              <w:widowControl/>
              <w:ind w:firstLine="600" w:firstLineChars="300"/>
              <w:jc w:val="left"/>
              <w:rPr>
                <w:rFonts w:hint="default" w:ascii="Times New Roman" w:hAnsi="Times New Roman" w:cs="Times New Roman"/>
                <w:color w:val="000000"/>
                <w:kern w:val="0"/>
                <w:sz w:val="20"/>
                <w:szCs w:val="20"/>
              </w:rPr>
            </w:pPr>
          </w:p>
        </w:tc>
      </w:tr>
      <w:tr>
        <w:tblPrEx>
          <w:tblCellMar>
            <w:top w:w="0" w:type="dxa"/>
            <w:left w:w="108" w:type="dxa"/>
            <w:bottom w:w="0" w:type="dxa"/>
            <w:right w:w="108" w:type="dxa"/>
          </w:tblCellMar>
        </w:tblPrEx>
        <w:trPr>
          <w:trHeight w:val="170" w:hRule="atLeast"/>
          <w:jc w:val="center"/>
        </w:trPr>
        <w:tc>
          <w:tcPr>
            <w:tcW w:w="350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年初财政拨款结转和结余</w:t>
            </w:r>
          </w:p>
        </w:tc>
        <w:tc>
          <w:tcPr>
            <w:tcW w:w="4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27</w:t>
            </w:r>
          </w:p>
        </w:tc>
        <w:tc>
          <w:tcPr>
            <w:tcW w:w="12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1.06</w:t>
            </w:r>
          </w:p>
        </w:tc>
        <w:tc>
          <w:tcPr>
            <w:tcW w:w="3520"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Times New Roman" w:hAnsi="Times New Roman" w:eastAsia="宋体" w:cs="Times New Roman"/>
                <w:color w:val="000000"/>
                <w:kern w:val="0"/>
                <w:sz w:val="20"/>
                <w:szCs w:val="20"/>
                <w:lang w:val="en-US" w:eastAsia="zh-CN" w:bidi="ar-SA"/>
              </w:rPr>
            </w:pPr>
            <w:r>
              <w:rPr>
                <w:rFonts w:hint="default" w:ascii="Times New Roman" w:hAnsi="Times New Roman" w:cs="Times New Roman"/>
                <w:kern w:val="0"/>
                <w:sz w:val="20"/>
                <w:szCs w:val="20"/>
              </w:rPr>
              <w:t>年末</w:t>
            </w:r>
            <w:r>
              <w:rPr>
                <w:rFonts w:hint="default" w:ascii="Times New Roman" w:hAnsi="Times New Roman" w:cs="Times New Roman"/>
                <w:kern w:val="0"/>
                <w:sz w:val="20"/>
                <w:szCs w:val="20"/>
                <w:lang w:eastAsia="zh-CN"/>
              </w:rPr>
              <w:t>财政拨款</w:t>
            </w:r>
            <w:r>
              <w:rPr>
                <w:rFonts w:hint="default" w:ascii="Times New Roman" w:hAnsi="Times New Roman" w:cs="Times New Roman"/>
                <w:kern w:val="0"/>
                <w:sz w:val="20"/>
                <w:szCs w:val="20"/>
              </w:rPr>
              <w:t>结转和结余</w:t>
            </w:r>
          </w:p>
        </w:tc>
        <w:tc>
          <w:tcPr>
            <w:tcW w:w="7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58</w:t>
            </w:r>
          </w:p>
        </w:tc>
        <w:tc>
          <w:tcPr>
            <w:tcW w:w="129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2.38</w:t>
            </w:r>
          </w:p>
        </w:tc>
        <w:tc>
          <w:tcPr>
            <w:tcW w:w="14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2.38</w:t>
            </w:r>
          </w:p>
        </w:tc>
        <w:tc>
          <w:tcPr>
            <w:tcW w:w="1612" w:type="dxa"/>
            <w:tcBorders>
              <w:top w:val="single" w:color="auto" w:sz="4" w:space="0"/>
              <w:left w:val="single" w:color="auto" w:sz="4" w:space="0"/>
              <w:bottom w:val="single" w:color="auto" w:sz="4" w:space="0"/>
              <w:right w:val="single" w:color="auto" w:sz="4" w:space="0"/>
            </w:tcBorders>
            <w:vAlign w:val="top"/>
          </w:tcPr>
          <w:p>
            <w:pPr>
              <w:widowControl/>
              <w:ind w:firstLine="800" w:firstLineChars="400"/>
              <w:jc w:val="left"/>
              <w:rPr>
                <w:rFonts w:hint="default" w:ascii="Times New Roman" w:hAnsi="Times New Roman" w:cs="Times New Roman"/>
                <w:color w:val="000000"/>
                <w:kern w:val="0"/>
                <w:sz w:val="20"/>
                <w:szCs w:val="20"/>
              </w:rPr>
            </w:pPr>
          </w:p>
        </w:tc>
      </w:tr>
      <w:tr>
        <w:tblPrEx>
          <w:tblCellMar>
            <w:top w:w="0" w:type="dxa"/>
            <w:left w:w="108" w:type="dxa"/>
            <w:bottom w:w="0" w:type="dxa"/>
            <w:right w:w="108" w:type="dxa"/>
          </w:tblCellMar>
        </w:tblPrEx>
        <w:trPr>
          <w:trHeight w:val="170" w:hRule="atLeast"/>
          <w:jc w:val="center"/>
        </w:trPr>
        <w:tc>
          <w:tcPr>
            <w:tcW w:w="350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一般公共预算财政拨款</w:t>
            </w:r>
          </w:p>
        </w:tc>
        <w:tc>
          <w:tcPr>
            <w:tcW w:w="4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28</w:t>
            </w:r>
          </w:p>
        </w:tc>
        <w:tc>
          <w:tcPr>
            <w:tcW w:w="12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1.06</w:t>
            </w:r>
          </w:p>
        </w:tc>
        <w:tc>
          <w:tcPr>
            <w:tcW w:w="3520" w:type="dxa"/>
            <w:tcBorders>
              <w:top w:val="single" w:color="auto" w:sz="4" w:space="0"/>
              <w:left w:val="single" w:color="auto" w:sz="4" w:space="0"/>
              <w:bottom w:val="single" w:color="auto" w:sz="4" w:space="0"/>
              <w:right w:val="single" w:color="auto" w:sz="4" w:space="0"/>
            </w:tcBorders>
            <w:vAlign w:val="top"/>
          </w:tcPr>
          <w:p>
            <w:pPr>
              <w:widowControl/>
              <w:jc w:val="left"/>
              <w:rPr>
                <w:rFonts w:hint="default" w:ascii="Times New Roman" w:hAnsi="Times New Roman" w:eastAsia="宋体" w:cs="Times New Roman"/>
                <w:color w:val="000000"/>
                <w:kern w:val="0"/>
                <w:sz w:val="20"/>
                <w:szCs w:val="20"/>
                <w:lang w:val="en-US" w:eastAsia="zh-CN" w:bidi="ar-SA"/>
              </w:rPr>
            </w:pPr>
            <w:r>
              <w:rPr>
                <w:rFonts w:hint="default" w:ascii="Times New Roman" w:hAnsi="Times New Roman" w:cs="Times New Roman"/>
                <w:color w:val="000000"/>
                <w:kern w:val="0"/>
                <w:sz w:val="20"/>
                <w:szCs w:val="20"/>
              </w:rPr>
              <w:t>　</w:t>
            </w:r>
          </w:p>
        </w:tc>
        <w:tc>
          <w:tcPr>
            <w:tcW w:w="7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59</w:t>
            </w:r>
          </w:p>
        </w:tc>
        <w:tc>
          <w:tcPr>
            <w:tcW w:w="1294"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46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612" w:type="dxa"/>
            <w:tcBorders>
              <w:top w:val="single" w:color="auto" w:sz="4" w:space="0"/>
              <w:left w:val="single" w:color="auto" w:sz="4" w:space="0"/>
              <w:bottom w:val="single" w:color="auto" w:sz="4" w:space="0"/>
              <w:right w:val="single" w:color="auto" w:sz="4" w:space="0"/>
            </w:tcBorders>
            <w:vAlign w:val="top"/>
          </w:tcPr>
          <w:p>
            <w:pPr>
              <w:widowControl/>
              <w:ind w:firstLine="600" w:firstLineChars="300"/>
              <w:jc w:val="left"/>
              <w:rPr>
                <w:rFonts w:hint="default" w:ascii="Times New Roman" w:hAnsi="Times New Roman" w:cs="Times New Roman"/>
                <w:color w:val="000000"/>
                <w:kern w:val="0"/>
                <w:sz w:val="20"/>
                <w:szCs w:val="20"/>
              </w:rPr>
            </w:pPr>
          </w:p>
        </w:tc>
      </w:tr>
      <w:tr>
        <w:tblPrEx>
          <w:tblCellMar>
            <w:top w:w="0" w:type="dxa"/>
            <w:left w:w="108" w:type="dxa"/>
            <w:bottom w:w="0" w:type="dxa"/>
            <w:right w:w="108" w:type="dxa"/>
          </w:tblCellMar>
        </w:tblPrEx>
        <w:trPr>
          <w:trHeight w:val="170" w:hRule="atLeast"/>
          <w:jc w:val="center"/>
        </w:trPr>
        <w:tc>
          <w:tcPr>
            <w:tcW w:w="350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政府性基金预算财政拨款</w:t>
            </w:r>
          </w:p>
        </w:tc>
        <w:tc>
          <w:tcPr>
            <w:tcW w:w="4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29</w:t>
            </w:r>
          </w:p>
        </w:tc>
        <w:tc>
          <w:tcPr>
            <w:tcW w:w="12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3520" w:type="dxa"/>
            <w:tcBorders>
              <w:top w:val="single" w:color="auto" w:sz="4" w:space="0"/>
              <w:left w:val="single" w:color="auto" w:sz="4" w:space="0"/>
              <w:bottom w:val="single" w:color="auto" w:sz="4" w:space="0"/>
              <w:right w:val="single" w:color="auto" w:sz="4" w:space="0"/>
            </w:tcBorders>
            <w:vAlign w:val="top"/>
          </w:tcPr>
          <w:p>
            <w:pPr>
              <w:widowControl/>
              <w:jc w:val="left"/>
              <w:rPr>
                <w:rFonts w:hint="default" w:ascii="Times New Roman" w:hAnsi="Times New Roman" w:eastAsia="宋体" w:cs="Times New Roman"/>
                <w:color w:val="000000"/>
                <w:kern w:val="0"/>
                <w:sz w:val="20"/>
                <w:szCs w:val="20"/>
                <w:lang w:val="en-US" w:eastAsia="zh-CN" w:bidi="ar-SA"/>
              </w:rPr>
            </w:pPr>
            <w:r>
              <w:rPr>
                <w:rFonts w:hint="default" w:ascii="Times New Roman" w:hAnsi="Times New Roman" w:cs="Times New Roman"/>
                <w:color w:val="000000"/>
                <w:kern w:val="0"/>
                <w:sz w:val="20"/>
                <w:szCs w:val="20"/>
              </w:rPr>
              <w:t>　</w:t>
            </w:r>
          </w:p>
        </w:tc>
        <w:tc>
          <w:tcPr>
            <w:tcW w:w="7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60</w:t>
            </w:r>
          </w:p>
        </w:tc>
        <w:tc>
          <w:tcPr>
            <w:tcW w:w="1294"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46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612" w:type="dxa"/>
            <w:tcBorders>
              <w:top w:val="single" w:color="auto" w:sz="4" w:space="0"/>
              <w:left w:val="single" w:color="auto" w:sz="4" w:space="0"/>
              <w:bottom w:val="single" w:color="auto" w:sz="4" w:space="0"/>
              <w:right w:val="single" w:color="auto" w:sz="4" w:space="0"/>
            </w:tcBorders>
            <w:vAlign w:val="top"/>
          </w:tcPr>
          <w:p>
            <w:pPr>
              <w:widowControl/>
              <w:ind w:firstLine="600" w:firstLineChars="300"/>
              <w:jc w:val="left"/>
              <w:rPr>
                <w:rFonts w:hint="default" w:ascii="Times New Roman" w:hAnsi="Times New Roman" w:cs="Times New Roman"/>
                <w:color w:val="000000"/>
                <w:kern w:val="0"/>
                <w:sz w:val="20"/>
                <w:szCs w:val="20"/>
              </w:rPr>
            </w:pPr>
          </w:p>
        </w:tc>
      </w:tr>
      <w:tr>
        <w:tblPrEx>
          <w:tblCellMar>
            <w:top w:w="0" w:type="dxa"/>
            <w:left w:w="108" w:type="dxa"/>
            <w:bottom w:w="0" w:type="dxa"/>
            <w:right w:w="108" w:type="dxa"/>
          </w:tblCellMar>
        </w:tblPrEx>
        <w:trPr>
          <w:trHeight w:val="170" w:hRule="atLeast"/>
          <w:jc w:val="center"/>
        </w:trPr>
        <w:tc>
          <w:tcPr>
            <w:tcW w:w="350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4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30</w:t>
            </w:r>
          </w:p>
        </w:tc>
        <w:tc>
          <w:tcPr>
            <w:tcW w:w="12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3520"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Times New Roman" w:hAnsi="Times New Roman" w:cs="Times New Roman"/>
                <w:kern w:val="0"/>
                <w:sz w:val="20"/>
                <w:szCs w:val="20"/>
              </w:rPr>
            </w:pPr>
          </w:p>
        </w:tc>
        <w:tc>
          <w:tcPr>
            <w:tcW w:w="7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61</w:t>
            </w:r>
          </w:p>
        </w:tc>
        <w:tc>
          <w:tcPr>
            <w:tcW w:w="1294"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46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1612" w:type="dxa"/>
            <w:tcBorders>
              <w:top w:val="single" w:color="auto" w:sz="4" w:space="0"/>
              <w:left w:val="single" w:color="auto" w:sz="4" w:space="0"/>
              <w:bottom w:val="single" w:color="auto" w:sz="4" w:space="0"/>
              <w:right w:val="single" w:color="auto" w:sz="4" w:space="0"/>
            </w:tcBorders>
            <w:vAlign w:val="top"/>
          </w:tcPr>
          <w:p>
            <w:pPr>
              <w:widowControl/>
              <w:ind w:firstLine="600" w:firstLineChars="300"/>
              <w:jc w:val="left"/>
              <w:rPr>
                <w:rFonts w:hint="default" w:ascii="Times New Roman" w:hAnsi="Times New Roman" w:cs="Times New Roman"/>
                <w:color w:val="000000"/>
                <w:kern w:val="0"/>
                <w:sz w:val="20"/>
                <w:szCs w:val="20"/>
              </w:rPr>
            </w:pPr>
          </w:p>
        </w:tc>
      </w:tr>
      <w:tr>
        <w:tblPrEx>
          <w:tblCellMar>
            <w:top w:w="0" w:type="dxa"/>
            <w:left w:w="108" w:type="dxa"/>
            <w:bottom w:w="0" w:type="dxa"/>
            <w:right w:w="108" w:type="dxa"/>
          </w:tblCellMar>
        </w:tblPrEx>
        <w:trPr>
          <w:trHeight w:val="170" w:hRule="atLeast"/>
          <w:jc w:val="center"/>
        </w:trPr>
        <w:tc>
          <w:tcPr>
            <w:tcW w:w="350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合计</w:t>
            </w:r>
          </w:p>
        </w:tc>
        <w:tc>
          <w:tcPr>
            <w:tcW w:w="4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31</w:t>
            </w:r>
          </w:p>
        </w:tc>
        <w:tc>
          <w:tcPr>
            <w:tcW w:w="12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60.92</w:t>
            </w:r>
          </w:p>
        </w:tc>
        <w:tc>
          <w:tcPr>
            <w:tcW w:w="3520" w:type="dxa"/>
            <w:tcBorders>
              <w:top w:val="single" w:color="auto" w:sz="4" w:space="0"/>
              <w:left w:val="single" w:color="auto" w:sz="4" w:space="0"/>
              <w:bottom w:val="single" w:color="auto" w:sz="4" w:space="0"/>
              <w:right w:val="single" w:color="auto" w:sz="4" w:space="0"/>
            </w:tcBorders>
            <w:vAlign w:val="top"/>
          </w:tcPr>
          <w:p>
            <w:pPr>
              <w:widowControl/>
              <w:jc w:val="center"/>
              <w:rPr>
                <w:rFonts w:hint="default" w:ascii="Times New Roman" w:hAnsi="Times New Roman" w:eastAsia="宋体" w:cs="Times New Roman"/>
                <w:color w:val="000000"/>
                <w:kern w:val="0"/>
                <w:sz w:val="20"/>
                <w:szCs w:val="20"/>
                <w:lang w:val="en-US" w:eastAsia="zh-CN" w:bidi="ar-SA"/>
              </w:rPr>
            </w:pPr>
            <w:r>
              <w:rPr>
                <w:rFonts w:hint="default" w:ascii="Times New Roman" w:hAnsi="Times New Roman" w:cs="Times New Roman"/>
                <w:kern w:val="0"/>
                <w:sz w:val="20"/>
                <w:szCs w:val="20"/>
              </w:rPr>
              <w:t>合计</w:t>
            </w:r>
          </w:p>
        </w:tc>
        <w:tc>
          <w:tcPr>
            <w:tcW w:w="7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62</w:t>
            </w:r>
          </w:p>
        </w:tc>
        <w:tc>
          <w:tcPr>
            <w:tcW w:w="1294"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60.92</w:t>
            </w:r>
          </w:p>
        </w:tc>
        <w:tc>
          <w:tcPr>
            <w:tcW w:w="1466"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60.92</w:t>
            </w:r>
          </w:p>
        </w:tc>
        <w:tc>
          <w:tcPr>
            <w:tcW w:w="1612" w:type="dxa"/>
            <w:tcBorders>
              <w:top w:val="single" w:color="auto" w:sz="4" w:space="0"/>
              <w:left w:val="single" w:color="auto" w:sz="4" w:space="0"/>
              <w:bottom w:val="single" w:color="auto" w:sz="4" w:space="0"/>
              <w:right w:val="single" w:color="auto" w:sz="4" w:space="0"/>
            </w:tcBorders>
            <w:vAlign w:val="top"/>
          </w:tcPr>
          <w:p>
            <w:pPr>
              <w:widowControl/>
              <w:ind w:firstLine="800" w:firstLineChars="400"/>
              <w:jc w:val="left"/>
              <w:rPr>
                <w:rFonts w:hint="default" w:ascii="Times New Roman" w:hAnsi="Times New Roman" w:cs="Times New Roman"/>
                <w:color w:val="000000"/>
                <w:kern w:val="0"/>
                <w:sz w:val="20"/>
                <w:szCs w:val="20"/>
              </w:rPr>
            </w:pPr>
          </w:p>
        </w:tc>
      </w:tr>
    </w:tbl>
    <w:p>
      <w:pPr>
        <w:rPr>
          <w:rFonts w:hint="default" w:ascii="Times New Roman" w:hAnsi="Times New Roman" w:cs="Times New Roman"/>
        </w:rPr>
      </w:pPr>
      <w:r>
        <w:rPr>
          <w:rFonts w:hint="default" w:ascii="Times New Roman" w:hAnsi="Times New Roman" w:cs="Times New Roman"/>
        </w:rPr>
        <w:t>注：本表反映</w:t>
      </w:r>
      <w:r>
        <w:rPr>
          <w:rFonts w:hint="eastAsia" w:cs="Times New Roman"/>
          <w:lang w:eastAsia="zh-CN"/>
        </w:rPr>
        <w:t>单位</w:t>
      </w:r>
      <w:r>
        <w:rPr>
          <w:rFonts w:hint="default" w:ascii="Times New Roman" w:hAnsi="Times New Roman" w:cs="Times New Roman"/>
        </w:rPr>
        <w:t>本年度一般公共预算财政拨款和政府性基金预算财政拨款的总收支和年末结转结余情况。</w:t>
      </w:r>
    </w:p>
    <w:p>
      <w:pPr>
        <w:rPr>
          <w:rFonts w:hint="default" w:ascii="Times New Roman" w:hAnsi="Times New Roman" w:cs="Times New Roman"/>
        </w:rPr>
      </w:pPr>
    </w:p>
    <w:p>
      <w:pPr>
        <w:jc w:val="center"/>
        <w:rPr>
          <w:rFonts w:hint="default" w:ascii="Times New Roman" w:hAnsi="Times New Roman" w:eastAsia="方正小标宋简体" w:cs="Times New Roman"/>
          <w:kern w:val="0"/>
          <w:sz w:val="36"/>
          <w:szCs w:val="36"/>
        </w:rPr>
      </w:pPr>
    </w:p>
    <w:p>
      <w:pPr>
        <w:jc w:val="center"/>
        <w:rPr>
          <w:rFonts w:hint="default" w:ascii="Times New Roman" w:hAnsi="Times New Roman" w:eastAsia="方正小标宋简体" w:cs="Times New Roman"/>
          <w:kern w:val="0"/>
          <w:sz w:val="36"/>
          <w:szCs w:val="36"/>
        </w:rPr>
      </w:pPr>
    </w:p>
    <w:p>
      <w:pPr>
        <w:jc w:val="center"/>
        <w:rPr>
          <w:rFonts w:hint="default" w:ascii="Times New Roman" w:hAnsi="Times New Roman" w:eastAsia="方正小标宋简体" w:cs="Times New Roman"/>
          <w:kern w:val="0"/>
          <w:sz w:val="36"/>
          <w:szCs w:val="36"/>
        </w:rPr>
      </w:pPr>
    </w:p>
    <w:p>
      <w:pPr>
        <w:jc w:val="center"/>
        <w:rPr>
          <w:rFonts w:hint="default" w:ascii="Times New Roman" w:hAnsi="Times New Roman" w:eastAsia="方正小标宋简体" w:cs="Times New Roman"/>
          <w:kern w:val="0"/>
          <w:sz w:val="36"/>
          <w:szCs w:val="36"/>
        </w:rPr>
      </w:pPr>
    </w:p>
    <w:p>
      <w:pPr>
        <w:jc w:val="center"/>
        <w:rPr>
          <w:rFonts w:hint="default" w:ascii="Times New Roman" w:hAnsi="Times New Roman" w:eastAsia="方正小标宋简体" w:cs="Times New Roman"/>
          <w:kern w:val="0"/>
          <w:sz w:val="36"/>
          <w:szCs w:val="36"/>
        </w:rPr>
      </w:pPr>
    </w:p>
    <w:p>
      <w:pPr>
        <w:jc w:val="center"/>
        <w:rPr>
          <w:rFonts w:hint="default" w:ascii="Times New Roman" w:hAnsi="Times New Roman" w:eastAsia="方正小标宋简体" w:cs="Times New Roman"/>
          <w:kern w:val="0"/>
          <w:sz w:val="36"/>
          <w:szCs w:val="36"/>
        </w:rPr>
      </w:pPr>
    </w:p>
    <w:p>
      <w:pPr>
        <w:jc w:val="center"/>
        <w:rPr>
          <w:rFonts w:hint="default" w:ascii="Times New Roman" w:hAnsi="Times New Roman" w:eastAsia="方正小标宋简体" w:cs="Times New Roman"/>
          <w:kern w:val="0"/>
          <w:sz w:val="36"/>
          <w:szCs w:val="36"/>
        </w:rPr>
      </w:pPr>
      <w:r>
        <w:rPr>
          <w:rFonts w:hint="default" w:ascii="Times New Roman" w:hAnsi="Times New Roman" w:eastAsia="方正小标宋简体" w:cs="Times New Roman"/>
          <w:kern w:val="0"/>
          <w:sz w:val="36"/>
          <w:szCs w:val="36"/>
        </w:rPr>
        <w:t>表五：</w:t>
      </w:r>
      <w:r>
        <w:rPr>
          <w:rFonts w:hint="default" w:ascii="Times New Roman" w:hAnsi="Times New Roman" w:eastAsia="方正小标宋简体" w:cs="Times New Roman"/>
          <w:sz w:val="36"/>
          <w:szCs w:val="36"/>
        </w:rPr>
        <w:t>一般</w:t>
      </w:r>
      <w:r>
        <w:rPr>
          <w:rFonts w:hint="default" w:ascii="Times New Roman" w:hAnsi="Times New Roman" w:eastAsia="方正小标宋简体" w:cs="Times New Roman"/>
          <w:kern w:val="0"/>
          <w:sz w:val="36"/>
          <w:szCs w:val="36"/>
        </w:rPr>
        <w:t>公共预算财政拨款支出决算表</w:t>
      </w:r>
    </w:p>
    <w:p>
      <w:pPr>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单位：万元</w:t>
      </w:r>
    </w:p>
    <w:tbl>
      <w:tblPr>
        <w:tblStyle w:val="6"/>
        <w:tblW w:w="13479" w:type="dxa"/>
        <w:jc w:val="center"/>
        <w:tblLayout w:type="fixed"/>
        <w:tblCellMar>
          <w:top w:w="0" w:type="dxa"/>
          <w:left w:w="108" w:type="dxa"/>
          <w:bottom w:w="0" w:type="dxa"/>
          <w:right w:w="108" w:type="dxa"/>
        </w:tblCellMar>
      </w:tblPr>
      <w:tblGrid>
        <w:gridCol w:w="1914"/>
        <w:gridCol w:w="4697"/>
        <w:gridCol w:w="2075"/>
        <w:gridCol w:w="2400"/>
        <w:gridCol w:w="2393"/>
      </w:tblGrid>
      <w:tr>
        <w:tblPrEx>
          <w:tblCellMar>
            <w:top w:w="0" w:type="dxa"/>
            <w:left w:w="108" w:type="dxa"/>
            <w:bottom w:w="0" w:type="dxa"/>
            <w:right w:w="108" w:type="dxa"/>
          </w:tblCellMar>
        </w:tblPrEx>
        <w:trPr>
          <w:trHeight w:val="300" w:hRule="atLeast"/>
          <w:jc w:val="center"/>
        </w:trPr>
        <w:tc>
          <w:tcPr>
            <w:tcW w:w="661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kern w:val="0"/>
                <w:sz w:val="22"/>
                <w:szCs w:val="22"/>
              </w:rPr>
              <w:t>支出功能</w:t>
            </w:r>
            <w:r>
              <w:rPr>
                <w:rFonts w:hint="default" w:ascii="Times New Roman" w:hAnsi="Times New Roman" w:eastAsia="MingLiU" w:cs="Times New Roman"/>
                <w:kern w:val="0"/>
                <w:sz w:val="22"/>
                <w:szCs w:val="22"/>
              </w:rPr>
              <w:t>项目</w:t>
            </w:r>
          </w:p>
        </w:tc>
        <w:tc>
          <w:tcPr>
            <w:tcW w:w="20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eastAsia="MingLiU" w:cs="Times New Roman"/>
                <w:kern w:val="0"/>
                <w:sz w:val="22"/>
                <w:szCs w:val="22"/>
              </w:rPr>
              <w:t>合计</w:t>
            </w:r>
          </w:p>
        </w:tc>
        <w:tc>
          <w:tcPr>
            <w:tcW w:w="24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eastAsia="MingLiU" w:cs="Times New Roman"/>
                <w:kern w:val="0"/>
                <w:sz w:val="22"/>
                <w:szCs w:val="22"/>
              </w:rPr>
              <w:t>基本支出</w:t>
            </w:r>
          </w:p>
        </w:tc>
        <w:tc>
          <w:tcPr>
            <w:tcW w:w="239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eastAsia="MingLiU" w:cs="Times New Roman"/>
                <w:kern w:val="0"/>
                <w:sz w:val="22"/>
                <w:szCs w:val="22"/>
              </w:rPr>
              <w:t>项目支出</w:t>
            </w:r>
          </w:p>
        </w:tc>
      </w:tr>
      <w:tr>
        <w:tblPrEx>
          <w:tblCellMar>
            <w:top w:w="0" w:type="dxa"/>
            <w:left w:w="108" w:type="dxa"/>
            <w:bottom w:w="0" w:type="dxa"/>
            <w:right w:w="108" w:type="dxa"/>
          </w:tblCellMar>
        </w:tblPrEx>
        <w:trPr>
          <w:trHeight w:val="300" w:hRule="atLeast"/>
          <w:jc w:val="center"/>
        </w:trPr>
        <w:tc>
          <w:tcPr>
            <w:tcW w:w="1914"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MingLiU" w:cs="Times New Roman"/>
                <w:kern w:val="0"/>
                <w:sz w:val="22"/>
                <w:szCs w:val="22"/>
              </w:rPr>
            </w:pPr>
            <w:r>
              <w:rPr>
                <w:rFonts w:hint="default" w:ascii="Times New Roman" w:hAnsi="Times New Roman" w:cs="Times New Roman"/>
                <w:kern w:val="0"/>
                <w:sz w:val="22"/>
                <w:szCs w:val="22"/>
              </w:rPr>
              <w:t>支出功能分类</w:t>
            </w:r>
            <w:r>
              <w:rPr>
                <w:rFonts w:hint="default" w:ascii="Times New Roman" w:hAnsi="Times New Roman" w:cs="Times New Roman"/>
                <w:kern w:val="0"/>
                <w:sz w:val="22"/>
                <w:szCs w:val="22"/>
                <w:lang w:val="en-US" w:eastAsia="zh-CN"/>
              </w:rPr>
              <w:t xml:space="preserve">     </w:t>
            </w:r>
            <w:r>
              <w:rPr>
                <w:rFonts w:hint="default" w:ascii="Times New Roman" w:hAnsi="Times New Roman" w:eastAsia="MingLiU" w:cs="Times New Roman"/>
                <w:kern w:val="0"/>
                <w:sz w:val="22"/>
                <w:szCs w:val="22"/>
              </w:rPr>
              <w:t>科目编码</w:t>
            </w:r>
          </w:p>
        </w:tc>
        <w:tc>
          <w:tcPr>
            <w:tcW w:w="4697"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eastAsia="MingLiU" w:cs="Times New Roman"/>
                <w:kern w:val="0"/>
                <w:sz w:val="22"/>
                <w:szCs w:val="22"/>
              </w:rPr>
              <w:t>科目名称</w:t>
            </w:r>
          </w:p>
        </w:tc>
        <w:tc>
          <w:tcPr>
            <w:tcW w:w="20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0"/>
                <w:szCs w:val="20"/>
              </w:rPr>
            </w:pPr>
          </w:p>
        </w:tc>
        <w:tc>
          <w:tcPr>
            <w:tcW w:w="2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0"/>
                <w:szCs w:val="20"/>
              </w:rPr>
            </w:pPr>
          </w:p>
        </w:tc>
        <w:tc>
          <w:tcPr>
            <w:tcW w:w="2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6611" w:type="dxa"/>
            <w:gridSpan w:val="2"/>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000000"/>
                <w:kern w:val="0"/>
                <w:sz w:val="20"/>
                <w:szCs w:val="20"/>
              </w:rPr>
            </w:pPr>
            <w:r>
              <w:rPr>
                <w:rFonts w:hint="default" w:ascii="Times New Roman" w:hAnsi="Times New Roman" w:eastAsia="MingLiU" w:cs="Times New Roman"/>
                <w:b/>
                <w:bCs/>
                <w:kern w:val="0"/>
                <w:sz w:val="18"/>
                <w:szCs w:val="18"/>
              </w:rPr>
              <w:t>栏次</w:t>
            </w:r>
          </w:p>
        </w:tc>
        <w:tc>
          <w:tcPr>
            <w:tcW w:w="2075" w:type="dxa"/>
            <w:tcBorders>
              <w:top w:val="nil"/>
              <w:left w:val="nil"/>
              <w:bottom w:val="single" w:color="auto" w:sz="4" w:space="0"/>
              <w:right w:val="single" w:color="auto" w:sz="4" w:space="0"/>
            </w:tcBorders>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1</w:t>
            </w:r>
          </w:p>
        </w:tc>
        <w:tc>
          <w:tcPr>
            <w:tcW w:w="2400" w:type="dxa"/>
            <w:tcBorders>
              <w:top w:val="nil"/>
              <w:left w:val="nil"/>
              <w:bottom w:val="single" w:color="auto" w:sz="4" w:space="0"/>
              <w:right w:val="single" w:color="auto" w:sz="4" w:space="0"/>
            </w:tcBorders>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2</w:t>
            </w:r>
          </w:p>
        </w:tc>
        <w:tc>
          <w:tcPr>
            <w:tcW w:w="2393" w:type="dxa"/>
            <w:tcBorders>
              <w:top w:val="nil"/>
              <w:left w:val="nil"/>
              <w:bottom w:val="single" w:color="auto" w:sz="4" w:space="0"/>
              <w:right w:val="single" w:color="auto" w:sz="4" w:space="0"/>
            </w:tcBorders>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w:t>
            </w:r>
          </w:p>
        </w:tc>
      </w:tr>
      <w:tr>
        <w:tblPrEx>
          <w:tblCellMar>
            <w:top w:w="0" w:type="dxa"/>
            <w:left w:w="108" w:type="dxa"/>
            <w:bottom w:w="0" w:type="dxa"/>
            <w:right w:w="108" w:type="dxa"/>
          </w:tblCellMar>
        </w:tblPrEx>
        <w:trPr>
          <w:trHeight w:val="300" w:hRule="atLeast"/>
          <w:jc w:val="center"/>
        </w:trPr>
        <w:tc>
          <w:tcPr>
            <w:tcW w:w="6611" w:type="dxa"/>
            <w:gridSpan w:val="2"/>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000000"/>
                <w:kern w:val="0"/>
                <w:sz w:val="20"/>
                <w:szCs w:val="20"/>
              </w:rPr>
            </w:pPr>
            <w:r>
              <w:rPr>
                <w:rFonts w:hint="default" w:ascii="Times New Roman" w:hAnsi="Times New Roman" w:eastAsia="MingLiU" w:cs="Times New Roman"/>
                <w:kern w:val="0"/>
                <w:sz w:val="22"/>
                <w:szCs w:val="22"/>
              </w:rPr>
              <w:t>合计</w:t>
            </w:r>
          </w:p>
        </w:tc>
        <w:tc>
          <w:tcPr>
            <w:tcW w:w="2075" w:type="dxa"/>
            <w:tcBorders>
              <w:top w:val="nil"/>
              <w:left w:val="nil"/>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58.54 </w:t>
            </w:r>
          </w:p>
        </w:tc>
        <w:tc>
          <w:tcPr>
            <w:tcW w:w="2400" w:type="dxa"/>
            <w:tcBorders>
              <w:top w:val="nil"/>
              <w:left w:val="nil"/>
              <w:bottom w:val="single" w:color="auto" w:sz="4" w:space="0"/>
              <w:right w:val="single" w:color="auto" w:sz="4" w:space="0"/>
            </w:tcBorders>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val="en-US" w:eastAsia="zh-CN"/>
              </w:rPr>
              <w:t>30.17</w:t>
            </w:r>
          </w:p>
        </w:tc>
        <w:tc>
          <w:tcPr>
            <w:tcW w:w="2393" w:type="dxa"/>
            <w:tcBorders>
              <w:top w:val="nil"/>
              <w:left w:val="nil"/>
              <w:bottom w:val="single" w:color="auto" w:sz="4" w:space="0"/>
              <w:right w:val="single" w:color="auto" w:sz="4" w:space="0"/>
            </w:tcBorders>
          </w:tcPr>
          <w:p>
            <w:pPr>
              <w:widowControl/>
              <w:ind w:firstLine="2520" w:firstLineChars="1200"/>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r>
      <w:tr>
        <w:tblPrEx>
          <w:tblCellMar>
            <w:top w:w="0" w:type="dxa"/>
            <w:left w:w="108" w:type="dxa"/>
            <w:bottom w:w="0" w:type="dxa"/>
            <w:right w:w="108" w:type="dxa"/>
          </w:tblCellMar>
        </w:tblPrEx>
        <w:trPr>
          <w:trHeight w:val="288" w:hRule="atLeast"/>
          <w:jc w:val="center"/>
        </w:trPr>
        <w:tc>
          <w:tcPr>
            <w:tcW w:w="19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201</w:t>
            </w:r>
          </w:p>
        </w:tc>
        <w:tc>
          <w:tcPr>
            <w:tcW w:w="46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iCs w:val="0"/>
                <w:color w:val="000000"/>
                <w:kern w:val="0"/>
                <w:sz w:val="22"/>
                <w:szCs w:val="22"/>
                <w:u w:val="none"/>
                <w:lang w:val="en-US" w:eastAsia="zh-CN" w:bidi="ar"/>
              </w:rPr>
              <w:t>一般公共服务支出</w:t>
            </w:r>
          </w:p>
        </w:tc>
        <w:tc>
          <w:tcPr>
            <w:tcW w:w="20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49.55 </w:t>
            </w:r>
          </w:p>
        </w:tc>
        <w:tc>
          <w:tcPr>
            <w:tcW w:w="24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21.17</w:t>
            </w:r>
          </w:p>
        </w:tc>
        <w:tc>
          <w:tcPr>
            <w:tcW w:w="2393" w:type="dxa"/>
            <w:tcBorders>
              <w:top w:val="single" w:color="auto" w:sz="4" w:space="0"/>
              <w:left w:val="single" w:color="auto" w:sz="4" w:space="0"/>
              <w:bottom w:val="single" w:color="auto" w:sz="4" w:space="0"/>
              <w:right w:val="single" w:color="auto" w:sz="4" w:space="0"/>
            </w:tcBorders>
          </w:tcPr>
          <w:p>
            <w:pPr>
              <w:widowControl/>
              <w:ind w:firstLine="3150" w:firstLineChars="1500"/>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r>
      <w:tr>
        <w:tblPrEx>
          <w:tblCellMar>
            <w:top w:w="0" w:type="dxa"/>
            <w:left w:w="108" w:type="dxa"/>
            <w:bottom w:w="0" w:type="dxa"/>
            <w:right w:w="108" w:type="dxa"/>
          </w:tblCellMar>
        </w:tblPrEx>
        <w:trPr>
          <w:trHeight w:val="288" w:hRule="atLeast"/>
          <w:jc w:val="center"/>
        </w:trPr>
        <w:tc>
          <w:tcPr>
            <w:tcW w:w="19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20131</w:t>
            </w:r>
          </w:p>
        </w:tc>
        <w:tc>
          <w:tcPr>
            <w:tcW w:w="46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iCs w:val="0"/>
                <w:color w:val="000000"/>
                <w:kern w:val="0"/>
                <w:sz w:val="22"/>
                <w:szCs w:val="22"/>
                <w:u w:val="none"/>
                <w:lang w:val="en-US" w:eastAsia="zh-CN" w:bidi="ar"/>
              </w:rPr>
              <w:t>党委办公厅（室）及相关机构事务</w:t>
            </w:r>
          </w:p>
        </w:tc>
        <w:tc>
          <w:tcPr>
            <w:tcW w:w="20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48.46 </w:t>
            </w:r>
          </w:p>
        </w:tc>
        <w:tc>
          <w:tcPr>
            <w:tcW w:w="24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20.09</w:t>
            </w:r>
          </w:p>
        </w:tc>
        <w:tc>
          <w:tcPr>
            <w:tcW w:w="2393" w:type="dxa"/>
            <w:tcBorders>
              <w:top w:val="single" w:color="auto" w:sz="4" w:space="0"/>
              <w:left w:val="single" w:color="auto" w:sz="4" w:space="0"/>
              <w:bottom w:val="single" w:color="auto" w:sz="4" w:space="0"/>
              <w:right w:val="single" w:color="auto" w:sz="4" w:space="0"/>
            </w:tcBorders>
          </w:tcPr>
          <w:p>
            <w:pPr>
              <w:widowControl/>
              <w:ind w:firstLine="3150" w:firstLineChars="1500"/>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r>
      <w:tr>
        <w:tblPrEx>
          <w:tblCellMar>
            <w:top w:w="0" w:type="dxa"/>
            <w:left w:w="108" w:type="dxa"/>
            <w:bottom w:w="0" w:type="dxa"/>
            <w:right w:w="108" w:type="dxa"/>
          </w:tblCellMar>
        </w:tblPrEx>
        <w:trPr>
          <w:trHeight w:val="288" w:hRule="atLeast"/>
          <w:jc w:val="center"/>
        </w:trPr>
        <w:tc>
          <w:tcPr>
            <w:tcW w:w="19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2013101</w:t>
            </w:r>
          </w:p>
        </w:tc>
        <w:tc>
          <w:tcPr>
            <w:tcW w:w="46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iCs w:val="0"/>
                <w:color w:val="000000"/>
                <w:kern w:val="0"/>
                <w:sz w:val="22"/>
                <w:szCs w:val="22"/>
                <w:u w:val="none"/>
                <w:lang w:val="en-US" w:eastAsia="zh-CN" w:bidi="ar"/>
              </w:rPr>
              <w:t>行政运行</w:t>
            </w:r>
          </w:p>
        </w:tc>
        <w:tc>
          <w:tcPr>
            <w:tcW w:w="20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20.09 </w:t>
            </w:r>
          </w:p>
        </w:tc>
        <w:tc>
          <w:tcPr>
            <w:tcW w:w="24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20.09</w:t>
            </w:r>
          </w:p>
        </w:tc>
        <w:tc>
          <w:tcPr>
            <w:tcW w:w="2393" w:type="dxa"/>
            <w:tcBorders>
              <w:top w:val="single" w:color="auto" w:sz="4" w:space="0"/>
              <w:left w:val="single" w:color="auto" w:sz="4" w:space="0"/>
              <w:bottom w:val="single" w:color="auto" w:sz="4" w:space="0"/>
              <w:right w:val="single" w:color="auto" w:sz="4" w:space="0"/>
            </w:tcBorders>
          </w:tcPr>
          <w:p>
            <w:pPr>
              <w:widowControl/>
              <w:ind w:firstLine="3150" w:firstLineChars="1500"/>
              <w:jc w:val="center"/>
              <w:rPr>
                <w:rFonts w:hint="default" w:ascii="Times New Roman" w:hAnsi="Times New Roman" w:cs="Times New Roman"/>
                <w:color w:val="000000"/>
                <w:kern w:val="0"/>
                <w:sz w:val="21"/>
                <w:szCs w:val="21"/>
              </w:rPr>
            </w:pPr>
          </w:p>
        </w:tc>
      </w:tr>
      <w:tr>
        <w:tblPrEx>
          <w:tblCellMar>
            <w:top w:w="0" w:type="dxa"/>
            <w:left w:w="108" w:type="dxa"/>
            <w:bottom w:w="0" w:type="dxa"/>
            <w:right w:w="108" w:type="dxa"/>
          </w:tblCellMar>
        </w:tblPrEx>
        <w:trPr>
          <w:trHeight w:val="264" w:hRule="atLeast"/>
          <w:jc w:val="center"/>
        </w:trPr>
        <w:tc>
          <w:tcPr>
            <w:tcW w:w="19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iCs w:val="0"/>
                <w:color w:val="000000"/>
                <w:kern w:val="0"/>
                <w:sz w:val="22"/>
                <w:szCs w:val="22"/>
                <w:u w:val="none"/>
                <w:lang w:val="en-US" w:eastAsia="zh-CN" w:bidi="ar"/>
              </w:rPr>
              <w:t>2013199</w:t>
            </w:r>
          </w:p>
        </w:tc>
        <w:tc>
          <w:tcPr>
            <w:tcW w:w="46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iCs w:val="0"/>
                <w:color w:val="000000"/>
                <w:kern w:val="0"/>
                <w:sz w:val="22"/>
                <w:szCs w:val="22"/>
                <w:u w:val="none"/>
                <w:lang w:val="en-US" w:eastAsia="zh-CN" w:bidi="ar"/>
              </w:rPr>
              <w:t>其他党委办公厅（室）及相关机构事务支出</w:t>
            </w:r>
          </w:p>
        </w:tc>
        <w:tc>
          <w:tcPr>
            <w:tcW w:w="20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28.37 </w:t>
            </w:r>
          </w:p>
        </w:tc>
        <w:tc>
          <w:tcPr>
            <w:tcW w:w="24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eastAsia="宋体" w:cs="Times New Roman"/>
                <w:color w:val="000000"/>
                <w:kern w:val="0"/>
                <w:sz w:val="21"/>
                <w:szCs w:val="21"/>
                <w:lang w:val="en-US" w:eastAsia="zh-CN"/>
              </w:rPr>
            </w:pPr>
          </w:p>
        </w:tc>
        <w:tc>
          <w:tcPr>
            <w:tcW w:w="2393"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000000"/>
                <w:kern w:val="0"/>
                <w:sz w:val="21"/>
                <w:szCs w:val="21"/>
                <w:lang w:val="en-US"/>
              </w:rPr>
            </w:pPr>
            <w:r>
              <w:rPr>
                <w:rFonts w:hint="eastAsia" w:cs="Times New Roman"/>
                <w:color w:val="000000"/>
                <w:kern w:val="0"/>
                <w:sz w:val="21"/>
                <w:szCs w:val="21"/>
                <w:lang w:val="en-US" w:eastAsia="zh-CN"/>
              </w:rPr>
              <w:t>28.37</w:t>
            </w:r>
          </w:p>
        </w:tc>
      </w:tr>
      <w:tr>
        <w:tblPrEx>
          <w:tblCellMar>
            <w:top w:w="0" w:type="dxa"/>
            <w:left w:w="108" w:type="dxa"/>
            <w:bottom w:w="0" w:type="dxa"/>
            <w:right w:w="108" w:type="dxa"/>
          </w:tblCellMar>
        </w:tblPrEx>
        <w:trPr>
          <w:trHeight w:val="264" w:hRule="atLeast"/>
          <w:jc w:val="center"/>
        </w:trPr>
        <w:tc>
          <w:tcPr>
            <w:tcW w:w="19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iCs w:val="0"/>
                <w:color w:val="000000"/>
                <w:kern w:val="0"/>
                <w:sz w:val="22"/>
                <w:szCs w:val="22"/>
                <w:u w:val="none"/>
                <w:lang w:val="en-US" w:eastAsia="zh-CN" w:bidi="ar"/>
              </w:rPr>
              <w:t>20137</w:t>
            </w:r>
          </w:p>
        </w:tc>
        <w:tc>
          <w:tcPr>
            <w:tcW w:w="46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iCs w:val="0"/>
                <w:color w:val="000000"/>
                <w:kern w:val="0"/>
                <w:sz w:val="22"/>
                <w:szCs w:val="22"/>
                <w:u w:val="none"/>
                <w:lang w:val="en-US" w:eastAsia="zh-CN" w:bidi="ar"/>
              </w:rPr>
              <w:t>网信事务</w:t>
            </w:r>
          </w:p>
        </w:tc>
        <w:tc>
          <w:tcPr>
            <w:tcW w:w="20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1.08 </w:t>
            </w:r>
          </w:p>
        </w:tc>
        <w:tc>
          <w:tcPr>
            <w:tcW w:w="24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1.08</w:t>
            </w:r>
          </w:p>
        </w:tc>
        <w:tc>
          <w:tcPr>
            <w:tcW w:w="2393" w:type="dxa"/>
            <w:tcBorders>
              <w:top w:val="single" w:color="auto" w:sz="4" w:space="0"/>
              <w:left w:val="single" w:color="auto" w:sz="4" w:space="0"/>
              <w:bottom w:val="single" w:color="auto" w:sz="4" w:space="0"/>
              <w:right w:val="single" w:color="auto" w:sz="4" w:space="0"/>
            </w:tcBorders>
          </w:tcPr>
          <w:p>
            <w:pPr>
              <w:widowControl/>
              <w:ind w:firstLine="3150" w:firstLineChars="1500"/>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r>
      <w:tr>
        <w:tblPrEx>
          <w:tblCellMar>
            <w:top w:w="0" w:type="dxa"/>
            <w:left w:w="108" w:type="dxa"/>
            <w:bottom w:w="0" w:type="dxa"/>
            <w:right w:w="108" w:type="dxa"/>
          </w:tblCellMar>
        </w:tblPrEx>
        <w:trPr>
          <w:trHeight w:val="264" w:hRule="atLeast"/>
          <w:jc w:val="center"/>
        </w:trPr>
        <w:tc>
          <w:tcPr>
            <w:tcW w:w="19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iCs w:val="0"/>
                <w:color w:val="000000"/>
                <w:kern w:val="0"/>
                <w:sz w:val="22"/>
                <w:szCs w:val="22"/>
                <w:u w:val="none"/>
                <w:lang w:val="en-US" w:eastAsia="zh-CN" w:bidi="ar"/>
              </w:rPr>
              <w:t>2013750</w:t>
            </w:r>
          </w:p>
        </w:tc>
        <w:tc>
          <w:tcPr>
            <w:tcW w:w="46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iCs w:val="0"/>
                <w:color w:val="000000"/>
                <w:kern w:val="0"/>
                <w:sz w:val="22"/>
                <w:szCs w:val="22"/>
                <w:u w:val="none"/>
                <w:lang w:val="en-US" w:eastAsia="zh-CN" w:bidi="ar"/>
              </w:rPr>
              <w:t>事业运行</w:t>
            </w:r>
          </w:p>
        </w:tc>
        <w:tc>
          <w:tcPr>
            <w:tcW w:w="20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1.08 </w:t>
            </w:r>
          </w:p>
        </w:tc>
        <w:tc>
          <w:tcPr>
            <w:tcW w:w="24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1.08</w:t>
            </w:r>
          </w:p>
        </w:tc>
        <w:tc>
          <w:tcPr>
            <w:tcW w:w="2393" w:type="dxa"/>
            <w:tcBorders>
              <w:top w:val="single" w:color="auto" w:sz="4" w:space="0"/>
              <w:left w:val="single" w:color="auto" w:sz="4" w:space="0"/>
              <w:bottom w:val="single" w:color="auto" w:sz="4" w:space="0"/>
              <w:right w:val="single" w:color="auto" w:sz="4" w:space="0"/>
            </w:tcBorders>
          </w:tcPr>
          <w:p>
            <w:pPr>
              <w:widowControl/>
              <w:ind w:firstLine="3150" w:firstLineChars="1500"/>
              <w:jc w:val="left"/>
              <w:rPr>
                <w:rFonts w:hint="default" w:ascii="Times New Roman" w:hAnsi="Times New Roman" w:cs="Times New Roman"/>
                <w:color w:val="000000"/>
                <w:kern w:val="0"/>
                <w:sz w:val="21"/>
                <w:szCs w:val="21"/>
              </w:rPr>
            </w:pPr>
          </w:p>
        </w:tc>
      </w:tr>
      <w:tr>
        <w:tblPrEx>
          <w:tblCellMar>
            <w:top w:w="0" w:type="dxa"/>
            <w:left w:w="108" w:type="dxa"/>
            <w:bottom w:w="0" w:type="dxa"/>
            <w:right w:w="108" w:type="dxa"/>
          </w:tblCellMar>
        </w:tblPrEx>
        <w:trPr>
          <w:trHeight w:val="264" w:hRule="atLeast"/>
          <w:jc w:val="center"/>
        </w:trPr>
        <w:tc>
          <w:tcPr>
            <w:tcW w:w="19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iCs w:val="0"/>
                <w:color w:val="000000"/>
                <w:kern w:val="0"/>
                <w:sz w:val="22"/>
                <w:szCs w:val="22"/>
                <w:u w:val="none"/>
                <w:lang w:val="en-US" w:eastAsia="zh-CN" w:bidi="ar"/>
              </w:rPr>
              <w:t>208</w:t>
            </w:r>
          </w:p>
        </w:tc>
        <w:tc>
          <w:tcPr>
            <w:tcW w:w="46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iCs w:val="0"/>
                <w:color w:val="000000"/>
                <w:kern w:val="0"/>
                <w:sz w:val="22"/>
                <w:szCs w:val="22"/>
                <w:u w:val="none"/>
                <w:lang w:val="en-US" w:eastAsia="zh-CN" w:bidi="ar"/>
              </w:rPr>
              <w:t>社会保障和就业支出</w:t>
            </w:r>
          </w:p>
        </w:tc>
        <w:tc>
          <w:tcPr>
            <w:tcW w:w="20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4.77 </w:t>
            </w:r>
          </w:p>
        </w:tc>
        <w:tc>
          <w:tcPr>
            <w:tcW w:w="24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4.77</w:t>
            </w:r>
          </w:p>
        </w:tc>
        <w:tc>
          <w:tcPr>
            <w:tcW w:w="2393" w:type="dxa"/>
            <w:tcBorders>
              <w:top w:val="single" w:color="auto" w:sz="4" w:space="0"/>
              <w:left w:val="single" w:color="auto" w:sz="4" w:space="0"/>
              <w:bottom w:val="single" w:color="auto" w:sz="4" w:space="0"/>
              <w:right w:val="single" w:color="auto" w:sz="4" w:space="0"/>
            </w:tcBorders>
          </w:tcPr>
          <w:p>
            <w:pPr>
              <w:widowControl/>
              <w:ind w:firstLine="3150" w:firstLineChars="1500"/>
              <w:jc w:val="left"/>
              <w:rPr>
                <w:rFonts w:hint="default" w:ascii="Times New Roman" w:hAnsi="Times New Roman" w:cs="Times New Roman"/>
                <w:color w:val="000000"/>
                <w:kern w:val="0"/>
                <w:sz w:val="21"/>
                <w:szCs w:val="21"/>
              </w:rPr>
            </w:pPr>
          </w:p>
        </w:tc>
      </w:tr>
      <w:tr>
        <w:tblPrEx>
          <w:tblCellMar>
            <w:top w:w="0" w:type="dxa"/>
            <w:left w:w="108" w:type="dxa"/>
            <w:bottom w:w="0" w:type="dxa"/>
            <w:right w:w="108" w:type="dxa"/>
          </w:tblCellMar>
        </w:tblPrEx>
        <w:trPr>
          <w:trHeight w:val="264" w:hRule="atLeast"/>
          <w:jc w:val="center"/>
        </w:trPr>
        <w:tc>
          <w:tcPr>
            <w:tcW w:w="19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iCs w:val="0"/>
                <w:color w:val="000000"/>
                <w:kern w:val="0"/>
                <w:sz w:val="22"/>
                <w:szCs w:val="22"/>
                <w:u w:val="none"/>
                <w:lang w:val="en-US" w:eastAsia="zh-CN" w:bidi="ar"/>
              </w:rPr>
              <w:t>20805</w:t>
            </w:r>
          </w:p>
        </w:tc>
        <w:tc>
          <w:tcPr>
            <w:tcW w:w="46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iCs w:val="0"/>
                <w:color w:val="000000"/>
                <w:kern w:val="0"/>
                <w:sz w:val="22"/>
                <w:szCs w:val="22"/>
                <w:u w:val="none"/>
                <w:lang w:val="en-US" w:eastAsia="zh-CN" w:bidi="ar"/>
              </w:rPr>
              <w:t>行政事业单位养老支出</w:t>
            </w:r>
          </w:p>
        </w:tc>
        <w:tc>
          <w:tcPr>
            <w:tcW w:w="20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4.77 </w:t>
            </w:r>
          </w:p>
        </w:tc>
        <w:tc>
          <w:tcPr>
            <w:tcW w:w="24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4.77</w:t>
            </w:r>
          </w:p>
        </w:tc>
        <w:tc>
          <w:tcPr>
            <w:tcW w:w="2393" w:type="dxa"/>
            <w:tcBorders>
              <w:top w:val="single" w:color="auto" w:sz="4" w:space="0"/>
              <w:left w:val="single" w:color="auto" w:sz="4" w:space="0"/>
              <w:bottom w:val="single" w:color="auto" w:sz="4" w:space="0"/>
              <w:right w:val="single" w:color="auto" w:sz="4" w:space="0"/>
            </w:tcBorders>
          </w:tcPr>
          <w:p>
            <w:pPr>
              <w:widowControl/>
              <w:ind w:firstLine="3150" w:firstLineChars="1500"/>
              <w:jc w:val="left"/>
              <w:rPr>
                <w:rFonts w:hint="default" w:ascii="Times New Roman" w:hAnsi="Times New Roman" w:cs="Times New Roman"/>
                <w:color w:val="000000"/>
                <w:kern w:val="0"/>
                <w:sz w:val="21"/>
                <w:szCs w:val="21"/>
              </w:rPr>
            </w:pPr>
          </w:p>
        </w:tc>
      </w:tr>
      <w:tr>
        <w:tblPrEx>
          <w:tblCellMar>
            <w:top w:w="0" w:type="dxa"/>
            <w:left w:w="108" w:type="dxa"/>
            <w:bottom w:w="0" w:type="dxa"/>
            <w:right w:w="108" w:type="dxa"/>
          </w:tblCellMar>
        </w:tblPrEx>
        <w:trPr>
          <w:trHeight w:val="264" w:hRule="atLeast"/>
          <w:jc w:val="center"/>
        </w:trPr>
        <w:tc>
          <w:tcPr>
            <w:tcW w:w="19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iCs w:val="0"/>
                <w:color w:val="000000"/>
                <w:kern w:val="0"/>
                <w:sz w:val="22"/>
                <w:szCs w:val="22"/>
                <w:u w:val="none"/>
                <w:lang w:val="en-US" w:eastAsia="zh-CN" w:bidi="ar"/>
              </w:rPr>
              <w:t>2080505</w:t>
            </w:r>
          </w:p>
        </w:tc>
        <w:tc>
          <w:tcPr>
            <w:tcW w:w="46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iCs w:val="0"/>
                <w:color w:val="000000"/>
                <w:kern w:val="0"/>
                <w:sz w:val="22"/>
                <w:szCs w:val="22"/>
                <w:u w:val="none"/>
                <w:lang w:val="en-US" w:eastAsia="zh-CN" w:bidi="ar"/>
              </w:rPr>
              <w:t>机关事业单位基本养老保险缴费支出</w:t>
            </w:r>
          </w:p>
        </w:tc>
        <w:tc>
          <w:tcPr>
            <w:tcW w:w="20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3.75 </w:t>
            </w:r>
          </w:p>
        </w:tc>
        <w:tc>
          <w:tcPr>
            <w:tcW w:w="24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3.75</w:t>
            </w:r>
          </w:p>
        </w:tc>
        <w:tc>
          <w:tcPr>
            <w:tcW w:w="2393" w:type="dxa"/>
            <w:tcBorders>
              <w:top w:val="single" w:color="auto" w:sz="4" w:space="0"/>
              <w:left w:val="single" w:color="auto" w:sz="4" w:space="0"/>
              <w:bottom w:val="single" w:color="auto" w:sz="4" w:space="0"/>
              <w:right w:val="single" w:color="auto" w:sz="4" w:space="0"/>
            </w:tcBorders>
          </w:tcPr>
          <w:p>
            <w:pPr>
              <w:widowControl/>
              <w:ind w:firstLine="3150" w:firstLineChars="1500"/>
              <w:jc w:val="left"/>
              <w:rPr>
                <w:rFonts w:hint="default" w:ascii="Times New Roman" w:hAnsi="Times New Roman" w:cs="Times New Roman"/>
                <w:color w:val="000000"/>
                <w:kern w:val="0"/>
                <w:sz w:val="21"/>
                <w:szCs w:val="21"/>
              </w:rPr>
            </w:pPr>
          </w:p>
        </w:tc>
      </w:tr>
      <w:tr>
        <w:tblPrEx>
          <w:tblCellMar>
            <w:top w:w="0" w:type="dxa"/>
            <w:left w:w="108" w:type="dxa"/>
            <w:bottom w:w="0" w:type="dxa"/>
            <w:right w:w="108" w:type="dxa"/>
          </w:tblCellMar>
        </w:tblPrEx>
        <w:trPr>
          <w:trHeight w:val="264" w:hRule="atLeast"/>
          <w:jc w:val="center"/>
        </w:trPr>
        <w:tc>
          <w:tcPr>
            <w:tcW w:w="19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iCs w:val="0"/>
                <w:color w:val="000000"/>
                <w:kern w:val="0"/>
                <w:sz w:val="22"/>
                <w:szCs w:val="22"/>
                <w:u w:val="none"/>
                <w:lang w:val="en-US" w:eastAsia="zh-CN" w:bidi="ar"/>
              </w:rPr>
              <w:t>2080506</w:t>
            </w:r>
          </w:p>
        </w:tc>
        <w:tc>
          <w:tcPr>
            <w:tcW w:w="46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iCs w:val="0"/>
                <w:color w:val="000000"/>
                <w:kern w:val="0"/>
                <w:sz w:val="22"/>
                <w:szCs w:val="22"/>
                <w:u w:val="none"/>
                <w:lang w:val="en-US" w:eastAsia="zh-CN" w:bidi="ar"/>
              </w:rPr>
              <w:t>机关事业单位职业年金缴费支出</w:t>
            </w:r>
          </w:p>
        </w:tc>
        <w:tc>
          <w:tcPr>
            <w:tcW w:w="20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1.02 </w:t>
            </w:r>
          </w:p>
        </w:tc>
        <w:tc>
          <w:tcPr>
            <w:tcW w:w="24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1.02</w:t>
            </w:r>
          </w:p>
        </w:tc>
        <w:tc>
          <w:tcPr>
            <w:tcW w:w="2393" w:type="dxa"/>
            <w:tcBorders>
              <w:top w:val="single" w:color="auto" w:sz="4" w:space="0"/>
              <w:left w:val="single" w:color="auto" w:sz="4" w:space="0"/>
              <w:bottom w:val="single" w:color="auto" w:sz="4" w:space="0"/>
              <w:right w:val="single" w:color="auto" w:sz="4" w:space="0"/>
            </w:tcBorders>
          </w:tcPr>
          <w:p>
            <w:pPr>
              <w:widowControl/>
              <w:ind w:firstLine="3150" w:firstLineChars="1500"/>
              <w:jc w:val="left"/>
              <w:rPr>
                <w:rFonts w:hint="default" w:ascii="Times New Roman" w:hAnsi="Times New Roman" w:cs="Times New Roman"/>
                <w:color w:val="000000"/>
                <w:kern w:val="0"/>
                <w:sz w:val="21"/>
                <w:szCs w:val="21"/>
              </w:rPr>
            </w:pPr>
          </w:p>
        </w:tc>
      </w:tr>
      <w:tr>
        <w:tblPrEx>
          <w:tblCellMar>
            <w:top w:w="0" w:type="dxa"/>
            <w:left w:w="108" w:type="dxa"/>
            <w:bottom w:w="0" w:type="dxa"/>
            <w:right w:w="108" w:type="dxa"/>
          </w:tblCellMar>
        </w:tblPrEx>
        <w:trPr>
          <w:trHeight w:val="264" w:hRule="atLeast"/>
          <w:jc w:val="center"/>
        </w:trPr>
        <w:tc>
          <w:tcPr>
            <w:tcW w:w="19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iCs w:val="0"/>
                <w:color w:val="000000"/>
                <w:kern w:val="0"/>
                <w:sz w:val="22"/>
                <w:szCs w:val="22"/>
                <w:u w:val="none"/>
                <w:lang w:val="en-US" w:eastAsia="zh-CN" w:bidi="ar"/>
              </w:rPr>
              <w:t>210</w:t>
            </w:r>
          </w:p>
        </w:tc>
        <w:tc>
          <w:tcPr>
            <w:tcW w:w="46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iCs w:val="0"/>
                <w:color w:val="000000"/>
                <w:kern w:val="0"/>
                <w:sz w:val="22"/>
                <w:szCs w:val="22"/>
                <w:u w:val="none"/>
                <w:lang w:val="en-US" w:eastAsia="zh-CN" w:bidi="ar"/>
              </w:rPr>
              <w:t>卫生健康支出</w:t>
            </w:r>
          </w:p>
        </w:tc>
        <w:tc>
          <w:tcPr>
            <w:tcW w:w="20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1.23 </w:t>
            </w:r>
          </w:p>
        </w:tc>
        <w:tc>
          <w:tcPr>
            <w:tcW w:w="24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1.23</w:t>
            </w:r>
          </w:p>
        </w:tc>
        <w:tc>
          <w:tcPr>
            <w:tcW w:w="2393" w:type="dxa"/>
            <w:tcBorders>
              <w:top w:val="single" w:color="auto" w:sz="4" w:space="0"/>
              <w:left w:val="single" w:color="auto" w:sz="4" w:space="0"/>
              <w:bottom w:val="single" w:color="auto" w:sz="4" w:space="0"/>
              <w:right w:val="single" w:color="auto" w:sz="4" w:space="0"/>
            </w:tcBorders>
          </w:tcPr>
          <w:p>
            <w:pPr>
              <w:widowControl/>
              <w:ind w:firstLine="3150" w:firstLineChars="1500"/>
              <w:jc w:val="left"/>
              <w:rPr>
                <w:rFonts w:hint="default" w:ascii="Times New Roman" w:hAnsi="Times New Roman" w:cs="Times New Roman"/>
                <w:color w:val="000000"/>
                <w:kern w:val="0"/>
                <w:sz w:val="21"/>
                <w:szCs w:val="21"/>
              </w:rPr>
            </w:pPr>
          </w:p>
        </w:tc>
      </w:tr>
      <w:tr>
        <w:tblPrEx>
          <w:tblCellMar>
            <w:top w:w="0" w:type="dxa"/>
            <w:left w:w="108" w:type="dxa"/>
            <w:bottom w:w="0" w:type="dxa"/>
            <w:right w:w="108" w:type="dxa"/>
          </w:tblCellMar>
        </w:tblPrEx>
        <w:trPr>
          <w:trHeight w:val="264" w:hRule="atLeast"/>
          <w:jc w:val="center"/>
        </w:trPr>
        <w:tc>
          <w:tcPr>
            <w:tcW w:w="19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iCs w:val="0"/>
                <w:color w:val="000000"/>
                <w:kern w:val="0"/>
                <w:sz w:val="22"/>
                <w:szCs w:val="22"/>
                <w:u w:val="none"/>
                <w:lang w:val="en-US" w:eastAsia="zh-CN" w:bidi="ar"/>
              </w:rPr>
              <w:t>21011</w:t>
            </w:r>
          </w:p>
        </w:tc>
        <w:tc>
          <w:tcPr>
            <w:tcW w:w="46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iCs w:val="0"/>
                <w:color w:val="000000"/>
                <w:kern w:val="0"/>
                <w:sz w:val="22"/>
                <w:szCs w:val="22"/>
                <w:u w:val="none"/>
                <w:lang w:val="en-US" w:eastAsia="zh-CN" w:bidi="ar"/>
              </w:rPr>
              <w:t>行政事业单位医疗</w:t>
            </w:r>
          </w:p>
        </w:tc>
        <w:tc>
          <w:tcPr>
            <w:tcW w:w="20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1.23 </w:t>
            </w:r>
          </w:p>
        </w:tc>
        <w:tc>
          <w:tcPr>
            <w:tcW w:w="24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1.23</w:t>
            </w:r>
          </w:p>
        </w:tc>
        <w:tc>
          <w:tcPr>
            <w:tcW w:w="2393" w:type="dxa"/>
            <w:tcBorders>
              <w:top w:val="single" w:color="auto" w:sz="4" w:space="0"/>
              <w:left w:val="single" w:color="auto" w:sz="4" w:space="0"/>
              <w:bottom w:val="single" w:color="auto" w:sz="4" w:space="0"/>
              <w:right w:val="single" w:color="auto" w:sz="4" w:space="0"/>
            </w:tcBorders>
          </w:tcPr>
          <w:p>
            <w:pPr>
              <w:widowControl/>
              <w:ind w:firstLine="3150" w:firstLineChars="1500"/>
              <w:jc w:val="left"/>
              <w:rPr>
                <w:rFonts w:hint="default" w:ascii="Times New Roman" w:hAnsi="Times New Roman" w:cs="Times New Roman"/>
                <w:color w:val="000000"/>
                <w:kern w:val="0"/>
                <w:sz w:val="21"/>
                <w:szCs w:val="21"/>
              </w:rPr>
            </w:pPr>
          </w:p>
        </w:tc>
      </w:tr>
      <w:tr>
        <w:tblPrEx>
          <w:tblCellMar>
            <w:top w:w="0" w:type="dxa"/>
            <w:left w:w="108" w:type="dxa"/>
            <w:bottom w:w="0" w:type="dxa"/>
            <w:right w:w="108" w:type="dxa"/>
          </w:tblCellMar>
        </w:tblPrEx>
        <w:trPr>
          <w:trHeight w:val="264" w:hRule="atLeast"/>
          <w:jc w:val="center"/>
        </w:trPr>
        <w:tc>
          <w:tcPr>
            <w:tcW w:w="19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iCs w:val="0"/>
                <w:color w:val="000000"/>
                <w:kern w:val="0"/>
                <w:sz w:val="22"/>
                <w:szCs w:val="22"/>
                <w:u w:val="none"/>
                <w:lang w:val="en-US" w:eastAsia="zh-CN" w:bidi="ar"/>
              </w:rPr>
              <w:t>2101102</w:t>
            </w:r>
          </w:p>
        </w:tc>
        <w:tc>
          <w:tcPr>
            <w:tcW w:w="46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iCs w:val="0"/>
                <w:color w:val="000000"/>
                <w:kern w:val="0"/>
                <w:sz w:val="22"/>
                <w:szCs w:val="22"/>
                <w:u w:val="none"/>
                <w:lang w:val="en-US" w:eastAsia="zh-CN" w:bidi="ar"/>
              </w:rPr>
              <w:t>事业单位医疗</w:t>
            </w:r>
          </w:p>
        </w:tc>
        <w:tc>
          <w:tcPr>
            <w:tcW w:w="20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1.23 </w:t>
            </w:r>
          </w:p>
        </w:tc>
        <w:tc>
          <w:tcPr>
            <w:tcW w:w="24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1.23</w:t>
            </w:r>
          </w:p>
        </w:tc>
        <w:tc>
          <w:tcPr>
            <w:tcW w:w="2393" w:type="dxa"/>
            <w:tcBorders>
              <w:top w:val="single" w:color="auto" w:sz="4" w:space="0"/>
              <w:left w:val="single" w:color="auto" w:sz="4" w:space="0"/>
              <w:bottom w:val="single" w:color="auto" w:sz="4" w:space="0"/>
              <w:right w:val="single" w:color="auto" w:sz="4" w:space="0"/>
            </w:tcBorders>
          </w:tcPr>
          <w:p>
            <w:pPr>
              <w:widowControl/>
              <w:ind w:firstLine="3150" w:firstLineChars="1500"/>
              <w:jc w:val="left"/>
              <w:rPr>
                <w:rFonts w:hint="default" w:ascii="Times New Roman" w:hAnsi="Times New Roman" w:cs="Times New Roman"/>
                <w:color w:val="000000"/>
                <w:kern w:val="0"/>
                <w:sz w:val="21"/>
                <w:szCs w:val="21"/>
              </w:rPr>
            </w:pPr>
          </w:p>
        </w:tc>
      </w:tr>
      <w:tr>
        <w:tblPrEx>
          <w:tblCellMar>
            <w:top w:w="0" w:type="dxa"/>
            <w:left w:w="108" w:type="dxa"/>
            <w:bottom w:w="0" w:type="dxa"/>
            <w:right w:w="108" w:type="dxa"/>
          </w:tblCellMar>
        </w:tblPrEx>
        <w:trPr>
          <w:trHeight w:val="264" w:hRule="atLeast"/>
          <w:jc w:val="center"/>
        </w:trPr>
        <w:tc>
          <w:tcPr>
            <w:tcW w:w="19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iCs w:val="0"/>
                <w:color w:val="000000"/>
                <w:kern w:val="0"/>
                <w:sz w:val="22"/>
                <w:szCs w:val="22"/>
                <w:u w:val="none"/>
                <w:lang w:val="en-US" w:eastAsia="zh-CN" w:bidi="ar"/>
              </w:rPr>
              <w:t>221</w:t>
            </w:r>
          </w:p>
        </w:tc>
        <w:tc>
          <w:tcPr>
            <w:tcW w:w="46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iCs w:val="0"/>
                <w:color w:val="000000"/>
                <w:kern w:val="0"/>
                <w:sz w:val="22"/>
                <w:szCs w:val="22"/>
                <w:u w:val="none"/>
                <w:lang w:val="en-US" w:eastAsia="zh-CN" w:bidi="ar"/>
              </w:rPr>
              <w:t>住房保障支出</w:t>
            </w:r>
          </w:p>
        </w:tc>
        <w:tc>
          <w:tcPr>
            <w:tcW w:w="20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3.00 </w:t>
            </w:r>
          </w:p>
        </w:tc>
        <w:tc>
          <w:tcPr>
            <w:tcW w:w="24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3.00</w:t>
            </w:r>
          </w:p>
        </w:tc>
        <w:tc>
          <w:tcPr>
            <w:tcW w:w="2393" w:type="dxa"/>
            <w:tcBorders>
              <w:top w:val="single" w:color="auto" w:sz="4" w:space="0"/>
              <w:left w:val="single" w:color="auto" w:sz="4" w:space="0"/>
              <w:bottom w:val="single" w:color="auto" w:sz="4" w:space="0"/>
              <w:right w:val="single" w:color="auto" w:sz="4" w:space="0"/>
            </w:tcBorders>
          </w:tcPr>
          <w:p>
            <w:pPr>
              <w:widowControl/>
              <w:ind w:firstLine="3150" w:firstLineChars="1500"/>
              <w:jc w:val="left"/>
              <w:rPr>
                <w:rFonts w:hint="default" w:ascii="Times New Roman" w:hAnsi="Times New Roman" w:cs="Times New Roman"/>
                <w:color w:val="000000"/>
                <w:kern w:val="0"/>
                <w:sz w:val="21"/>
                <w:szCs w:val="21"/>
              </w:rPr>
            </w:pPr>
          </w:p>
        </w:tc>
      </w:tr>
      <w:tr>
        <w:tblPrEx>
          <w:tblCellMar>
            <w:top w:w="0" w:type="dxa"/>
            <w:left w:w="108" w:type="dxa"/>
            <w:bottom w:w="0" w:type="dxa"/>
            <w:right w:w="108" w:type="dxa"/>
          </w:tblCellMar>
        </w:tblPrEx>
        <w:trPr>
          <w:trHeight w:val="264" w:hRule="atLeast"/>
          <w:jc w:val="center"/>
        </w:trPr>
        <w:tc>
          <w:tcPr>
            <w:tcW w:w="19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22102</w:t>
            </w:r>
          </w:p>
        </w:tc>
        <w:tc>
          <w:tcPr>
            <w:tcW w:w="469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住房改革支出</w:t>
            </w:r>
          </w:p>
        </w:tc>
        <w:tc>
          <w:tcPr>
            <w:tcW w:w="20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3.00 </w:t>
            </w:r>
          </w:p>
        </w:tc>
        <w:tc>
          <w:tcPr>
            <w:tcW w:w="24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3.00</w:t>
            </w:r>
          </w:p>
        </w:tc>
        <w:tc>
          <w:tcPr>
            <w:tcW w:w="2393" w:type="dxa"/>
            <w:tcBorders>
              <w:top w:val="single" w:color="auto" w:sz="4" w:space="0"/>
              <w:left w:val="single" w:color="auto" w:sz="4" w:space="0"/>
              <w:bottom w:val="single" w:color="auto" w:sz="4" w:space="0"/>
              <w:right w:val="single" w:color="auto" w:sz="4" w:space="0"/>
            </w:tcBorders>
          </w:tcPr>
          <w:p>
            <w:pPr>
              <w:widowControl/>
              <w:ind w:firstLine="3150" w:firstLineChars="1500"/>
              <w:jc w:val="left"/>
              <w:rPr>
                <w:rFonts w:hint="default" w:ascii="Times New Roman" w:hAnsi="Times New Roman" w:cs="Times New Roman"/>
                <w:color w:val="000000"/>
                <w:kern w:val="0"/>
                <w:sz w:val="21"/>
                <w:szCs w:val="21"/>
              </w:rPr>
            </w:pPr>
          </w:p>
        </w:tc>
      </w:tr>
    </w:tbl>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w:t>注：本表反映</w:t>
      </w:r>
      <w:r>
        <w:rPr>
          <w:rFonts w:hint="eastAsia" w:cs="Times New Roman"/>
          <w:lang w:eastAsia="zh-CN"/>
        </w:rPr>
        <w:t>单位</w:t>
      </w:r>
      <w:r>
        <w:rPr>
          <w:rFonts w:hint="default" w:ascii="Times New Roman" w:hAnsi="Times New Roman" w:cs="Times New Roman"/>
        </w:rPr>
        <w:t>本年度一般公共预算财政拨款实际支出情况。</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sectPr>
          <w:footerReference r:id="rId9" w:type="default"/>
          <w:footerReference r:id="rId10" w:type="even"/>
          <w:pgSz w:w="16838" w:h="11906" w:orient="landscape"/>
          <w:pgMar w:top="1377" w:right="1440" w:bottom="1797" w:left="1440" w:header="851" w:footer="992" w:gutter="0"/>
          <w:pgNumType w:fmt="numberInDash"/>
          <w:cols w:space="720" w:num="1"/>
          <w:docGrid w:type="lines" w:linePitch="312" w:charSpace="0"/>
        </w:sectPr>
      </w:pPr>
    </w:p>
    <w:p>
      <w:pPr>
        <w:jc w:val="center"/>
        <w:rPr>
          <w:rFonts w:hint="default" w:ascii="Times New Roman" w:hAnsi="Times New Roman" w:eastAsia="方正小标宋简体" w:cs="Times New Roman"/>
          <w:kern w:val="0"/>
          <w:sz w:val="36"/>
          <w:szCs w:val="36"/>
        </w:rPr>
      </w:pPr>
      <w:r>
        <w:rPr>
          <w:rFonts w:hint="default" w:ascii="Times New Roman" w:hAnsi="Times New Roman" w:eastAsia="方正小标宋简体" w:cs="Times New Roman"/>
          <w:kern w:val="0"/>
          <w:sz w:val="36"/>
          <w:szCs w:val="36"/>
        </w:rPr>
        <w:t>表六</w:t>
      </w:r>
      <w:r>
        <w:rPr>
          <w:rFonts w:hint="default" w:ascii="Times New Roman" w:hAnsi="Times New Roman" w:eastAsia="方正小标宋简体" w:cs="Times New Roman"/>
          <w:color w:val="000000"/>
          <w:kern w:val="0"/>
          <w:sz w:val="36"/>
          <w:szCs w:val="36"/>
        </w:rPr>
        <w:t>：</w:t>
      </w:r>
      <w:r>
        <w:rPr>
          <w:rFonts w:hint="default" w:ascii="Times New Roman" w:hAnsi="Times New Roman" w:eastAsia="方正小标宋简体" w:cs="Times New Roman"/>
          <w:color w:val="000000"/>
          <w:sz w:val="36"/>
          <w:szCs w:val="36"/>
        </w:rPr>
        <w:t>一般</w:t>
      </w:r>
      <w:r>
        <w:rPr>
          <w:rFonts w:hint="default" w:ascii="Times New Roman" w:hAnsi="Times New Roman" w:eastAsia="方正小标宋简体" w:cs="Times New Roman"/>
          <w:color w:val="000000"/>
          <w:kern w:val="0"/>
          <w:sz w:val="36"/>
          <w:szCs w:val="36"/>
        </w:rPr>
        <w:t>公共预算财政拨</w:t>
      </w:r>
      <w:r>
        <w:rPr>
          <w:rFonts w:hint="default" w:ascii="Times New Roman" w:hAnsi="Times New Roman" w:eastAsia="方正小标宋简体" w:cs="Times New Roman"/>
          <w:kern w:val="0"/>
          <w:sz w:val="36"/>
          <w:szCs w:val="36"/>
        </w:rPr>
        <w:t>款基本支出决算表</w:t>
      </w:r>
    </w:p>
    <w:p>
      <w:pPr>
        <w:jc w:val="center"/>
        <w:rPr>
          <w:rFonts w:hint="default" w:ascii="Times New Roman" w:hAnsi="Times New Roman" w:eastAsia="方正小标宋简体" w:cs="Times New Roman"/>
          <w:kern w:val="0"/>
          <w:sz w:val="36"/>
          <w:szCs w:val="36"/>
        </w:rPr>
      </w:pPr>
    </w:p>
    <w:p>
      <w:pPr>
        <w:ind w:right="330"/>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单位：万元</w:t>
      </w:r>
    </w:p>
    <w:tbl>
      <w:tblPr>
        <w:tblStyle w:val="6"/>
        <w:tblW w:w="9151" w:type="dxa"/>
        <w:jc w:val="center"/>
        <w:tblLayout w:type="fixed"/>
        <w:tblCellMar>
          <w:top w:w="0" w:type="dxa"/>
          <w:left w:w="108" w:type="dxa"/>
          <w:bottom w:w="0" w:type="dxa"/>
          <w:right w:w="108" w:type="dxa"/>
        </w:tblCellMar>
      </w:tblPr>
      <w:tblGrid>
        <w:gridCol w:w="916"/>
        <w:gridCol w:w="3130"/>
        <w:gridCol w:w="941"/>
        <w:gridCol w:w="849"/>
        <w:gridCol w:w="2224"/>
        <w:gridCol w:w="1091"/>
      </w:tblGrid>
      <w:tr>
        <w:tblPrEx>
          <w:tblCellMar>
            <w:top w:w="0" w:type="dxa"/>
            <w:left w:w="108" w:type="dxa"/>
            <w:bottom w:w="0" w:type="dxa"/>
            <w:right w:w="108" w:type="dxa"/>
          </w:tblCellMar>
        </w:tblPrEx>
        <w:trPr>
          <w:trHeight w:val="564" w:hRule="atLeast"/>
          <w:jc w:val="center"/>
        </w:trPr>
        <w:tc>
          <w:tcPr>
            <w:tcW w:w="498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lang w:eastAsia="zh-CN"/>
              </w:rPr>
              <w:t>人员经费</w:t>
            </w:r>
          </w:p>
        </w:tc>
        <w:tc>
          <w:tcPr>
            <w:tcW w:w="4164" w:type="dxa"/>
            <w:gridSpan w:val="3"/>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lang w:eastAsia="zh-CN"/>
              </w:rPr>
              <w:t>公用经费</w:t>
            </w:r>
          </w:p>
        </w:tc>
      </w:tr>
      <w:tr>
        <w:tblPrEx>
          <w:tblCellMar>
            <w:top w:w="0" w:type="dxa"/>
            <w:left w:w="108" w:type="dxa"/>
            <w:bottom w:w="0" w:type="dxa"/>
            <w:right w:w="108" w:type="dxa"/>
          </w:tblCellMar>
        </w:tblPrEx>
        <w:trPr>
          <w:trHeight w:val="312" w:hRule="atLeast"/>
          <w:jc w:val="center"/>
        </w:trPr>
        <w:tc>
          <w:tcPr>
            <w:tcW w:w="916" w:type="dxa"/>
            <w:tcBorders>
              <w:top w:val="nil"/>
              <w:left w:val="single" w:color="auto" w:sz="4" w:space="0"/>
              <w:bottom w:val="single" w:color="auto" w:sz="4" w:space="0"/>
              <w:right w:val="single" w:color="auto" w:sz="4" w:space="0"/>
            </w:tcBorders>
            <w:vAlign w:val="bottom"/>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lang w:eastAsia="zh-CN"/>
              </w:rPr>
              <w:t>支出经济分类科目编码</w:t>
            </w:r>
          </w:p>
        </w:tc>
        <w:tc>
          <w:tcPr>
            <w:tcW w:w="31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lang w:eastAsia="zh-CN"/>
              </w:rPr>
              <w:t>科目名称</w:t>
            </w:r>
          </w:p>
        </w:tc>
        <w:tc>
          <w:tcPr>
            <w:tcW w:w="94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kern w:val="0"/>
                <w:sz w:val="22"/>
                <w:szCs w:val="22"/>
                <w:lang w:eastAsia="zh-CN"/>
              </w:rPr>
            </w:pPr>
            <w:r>
              <w:rPr>
                <w:rFonts w:hint="default" w:ascii="Times New Roman" w:hAnsi="Times New Roman" w:cs="Times New Roman"/>
                <w:color w:val="000000"/>
                <w:kern w:val="0"/>
                <w:sz w:val="22"/>
                <w:szCs w:val="22"/>
                <w:lang w:eastAsia="zh-CN"/>
              </w:rPr>
              <w:t>金额</w:t>
            </w:r>
          </w:p>
        </w:tc>
        <w:tc>
          <w:tcPr>
            <w:tcW w:w="84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lang w:eastAsia="zh-CN"/>
              </w:rPr>
              <w:t>经济分类科目编码</w:t>
            </w:r>
          </w:p>
        </w:tc>
        <w:tc>
          <w:tcPr>
            <w:tcW w:w="22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lang w:eastAsia="zh-CN"/>
              </w:rPr>
              <w:t>科目名称</w:t>
            </w:r>
          </w:p>
        </w:tc>
        <w:tc>
          <w:tcPr>
            <w:tcW w:w="109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lang w:eastAsia="zh-CN"/>
              </w:rPr>
              <w:t>金额</w:t>
            </w:r>
          </w:p>
        </w:tc>
      </w:tr>
      <w:tr>
        <w:tblPrEx>
          <w:tblCellMar>
            <w:top w:w="0" w:type="dxa"/>
            <w:left w:w="108" w:type="dxa"/>
            <w:bottom w:w="0" w:type="dxa"/>
            <w:right w:w="108" w:type="dxa"/>
          </w:tblCellMar>
        </w:tblPrEx>
        <w:trPr>
          <w:trHeight w:val="264"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301</w:t>
            </w:r>
          </w:p>
        </w:tc>
        <w:tc>
          <w:tcPr>
            <w:tcW w:w="3130"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工资福利支出</w:t>
            </w:r>
          </w:p>
        </w:tc>
        <w:tc>
          <w:tcPr>
            <w:tcW w:w="94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27.27</w:t>
            </w:r>
          </w:p>
        </w:tc>
        <w:tc>
          <w:tcPr>
            <w:tcW w:w="849"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302</w:t>
            </w:r>
          </w:p>
        </w:tc>
        <w:tc>
          <w:tcPr>
            <w:tcW w:w="2224"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商品和服务支出</w:t>
            </w:r>
          </w:p>
        </w:tc>
        <w:tc>
          <w:tcPr>
            <w:tcW w:w="109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2.9</w:t>
            </w:r>
          </w:p>
        </w:tc>
      </w:tr>
      <w:tr>
        <w:tblPrEx>
          <w:tblCellMar>
            <w:top w:w="0" w:type="dxa"/>
            <w:left w:w="108" w:type="dxa"/>
            <w:bottom w:w="0" w:type="dxa"/>
            <w:right w:w="108" w:type="dxa"/>
          </w:tblCellMar>
        </w:tblPrEx>
        <w:trPr>
          <w:trHeight w:val="339"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30101</w:t>
            </w:r>
          </w:p>
        </w:tc>
        <w:tc>
          <w:tcPr>
            <w:tcW w:w="3130"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基本工资</w:t>
            </w:r>
          </w:p>
        </w:tc>
        <w:tc>
          <w:tcPr>
            <w:tcW w:w="94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8.09</w:t>
            </w:r>
          </w:p>
        </w:tc>
        <w:tc>
          <w:tcPr>
            <w:tcW w:w="849"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30201</w:t>
            </w:r>
          </w:p>
        </w:tc>
        <w:tc>
          <w:tcPr>
            <w:tcW w:w="2224"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办公费</w:t>
            </w:r>
          </w:p>
        </w:tc>
        <w:tc>
          <w:tcPr>
            <w:tcW w:w="109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0.45</w:t>
            </w:r>
          </w:p>
        </w:tc>
      </w:tr>
      <w:tr>
        <w:tblPrEx>
          <w:tblCellMar>
            <w:top w:w="0" w:type="dxa"/>
            <w:left w:w="108" w:type="dxa"/>
            <w:bottom w:w="0" w:type="dxa"/>
            <w:right w:w="108" w:type="dxa"/>
          </w:tblCellMar>
        </w:tblPrEx>
        <w:trPr>
          <w:trHeight w:val="352"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30102</w:t>
            </w:r>
          </w:p>
        </w:tc>
        <w:tc>
          <w:tcPr>
            <w:tcW w:w="3130"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津贴补贴</w:t>
            </w:r>
          </w:p>
        </w:tc>
        <w:tc>
          <w:tcPr>
            <w:tcW w:w="94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0.58</w:t>
            </w:r>
          </w:p>
        </w:tc>
        <w:tc>
          <w:tcPr>
            <w:tcW w:w="849"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30202</w:t>
            </w:r>
          </w:p>
        </w:tc>
        <w:tc>
          <w:tcPr>
            <w:tcW w:w="2224"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印刷费</w:t>
            </w:r>
          </w:p>
        </w:tc>
        <w:tc>
          <w:tcPr>
            <w:tcW w:w="109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1"/>
                <w:szCs w:val="21"/>
                <w:lang w:val="en-US" w:eastAsia="zh-CN"/>
              </w:rPr>
            </w:pP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30103</w:t>
            </w:r>
          </w:p>
        </w:tc>
        <w:tc>
          <w:tcPr>
            <w:tcW w:w="3130"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奖金</w:t>
            </w:r>
          </w:p>
        </w:tc>
        <w:tc>
          <w:tcPr>
            <w:tcW w:w="94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0.15</w:t>
            </w:r>
          </w:p>
        </w:tc>
        <w:tc>
          <w:tcPr>
            <w:tcW w:w="849"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30203</w:t>
            </w:r>
          </w:p>
        </w:tc>
        <w:tc>
          <w:tcPr>
            <w:tcW w:w="2224"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咨询费</w:t>
            </w:r>
          </w:p>
        </w:tc>
        <w:tc>
          <w:tcPr>
            <w:tcW w:w="109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1"/>
                <w:szCs w:val="21"/>
                <w:lang w:val="en-US" w:eastAsia="zh-CN"/>
              </w:rPr>
            </w:pP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30106</w:t>
            </w:r>
          </w:p>
        </w:tc>
        <w:tc>
          <w:tcPr>
            <w:tcW w:w="3130"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伙食补助费</w:t>
            </w:r>
          </w:p>
        </w:tc>
        <w:tc>
          <w:tcPr>
            <w:tcW w:w="94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1"/>
                <w:szCs w:val="21"/>
                <w:lang w:val="en-US" w:eastAsia="zh-CN"/>
              </w:rPr>
            </w:pPr>
          </w:p>
        </w:tc>
        <w:tc>
          <w:tcPr>
            <w:tcW w:w="849"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30204</w:t>
            </w:r>
          </w:p>
        </w:tc>
        <w:tc>
          <w:tcPr>
            <w:tcW w:w="2224"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手续费</w:t>
            </w:r>
          </w:p>
        </w:tc>
        <w:tc>
          <w:tcPr>
            <w:tcW w:w="109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1"/>
                <w:szCs w:val="21"/>
                <w:lang w:val="en-US" w:eastAsia="zh-CN"/>
              </w:rPr>
            </w:pP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30107</w:t>
            </w:r>
          </w:p>
        </w:tc>
        <w:tc>
          <w:tcPr>
            <w:tcW w:w="3130"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绩效工资</w:t>
            </w:r>
          </w:p>
        </w:tc>
        <w:tc>
          <w:tcPr>
            <w:tcW w:w="94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9.35</w:t>
            </w:r>
          </w:p>
        </w:tc>
        <w:tc>
          <w:tcPr>
            <w:tcW w:w="849"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30205</w:t>
            </w:r>
          </w:p>
        </w:tc>
        <w:tc>
          <w:tcPr>
            <w:tcW w:w="2224"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水费</w:t>
            </w:r>
          </w:p>
        </w:tc>
        <w:tc>
          <w:tcPr>
            <w:tcW w:w="109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1"/>
                <w:szCs w:val="21"/>
                <w:lang w:val="en-US" w:eastAsia="zh-CN"/>
              </w:rPr>
            </w:pP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30108</w:t>
            </w:r>
          </w:p>
        </w:tc>
        <w:tc>
          <w:tcPr>
            <w:tcW w:w="3130"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0"/>
                <w:szCs w:val="20"/>
                <w:lang w:val="en-US" w:eastAsia="zh-CN"/>
              </w:rPr>
              <w:t>机关事业单位基本养老保险缴费</w:t>
            </w:r>
          </w:p>
        </w:tc>
        <w:tc>
          <w:tcPr>
            <w:tcW w:w="94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3.75</w:t>
            </w:r>
          </w:p>
        </w:tc>
        <w:tc>
          <w:tcPr>
            <w:tcW w:w="849"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30206</w:t>
            </w:r>
          </w:p>
        </w:tc>
        <w:tc>
          <w:tcPr>
            <w:tcW w:w="2224"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电费</w:t>
            </w:r>
          </w:p>
        </w:tc>
        <w:tc>
          <w:tcPr>
            <w:tcW w:w="109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1"/>
                <w:szCs w:val="21"/>
                <w:lang w:val="en-US" w:eastAsia="zh-CN"/>
              </w:rPr>
            </w:pP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30109</w:t>
            </w:r>
          </w:p>
        </w:tc>
        <w:tc>
          <w:tcPr>
            <w:tcW w:w="3130"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职业年金缴费</w:t>
            </w:r>
          </w:p>
        </w:tc>
        <w:tc>
          <w:tcPr>
            <w:tcW w:w="94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1.02</w:t>
            </w:r>
          </w:p>
        </w:tc>
        <w:tc>
          <w:tcPr>
            <w:tcW w:w="849"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30207</w:t>
            </w:r>
          </w:p>
        </w:tc>
        <w:tc>
          <w:tcPr>
            <w:tcW w:w="2224"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邮电费</w:t>
            </w:r>
          </w:p>
        </w:tc>
        <w:tc>
          <w:tcPr>
            <w:tcW w:w="109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0.29</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30110</w:t>
            </w:r>
          </w:p>
        </w:tc>
        <w:tc>
          <w:tcPr>
            <w:tcW w:w="3130"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职工基本医疗保险缴费</w:t>
            </w:r>
          </w:p>
        </w:tc>
        <w:tc>
          <w:tcPr>
            <w:tcW w:w="94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1.23</w:t>
            </w:r>
          </w:p>
        </w:tc>
        <w:tc>
          <w:tcPr>
            <w:tcW w:w="849"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30208</w:t>
            </w:r>
          </w:p>
        </w:tc>
        <w:tc>
          <w:tcPr>
            <w:tcW w:w="2224"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取暖费</w:t>
            </w:r>
          </w:p>
        </w:tc>
        <w:tc>
          <w:tcPr>
            <w:tcW w:w="109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1"/>
                <w:szCs w:val="21"/>
                <w:lang w:val="en-US" w:eastAsia="zh-CN"/>
              </w:rPr>
            </w:pP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30111</w:t>
            </w:r>
          </w:p>
        </w:tc>
        <w:tc>
          <w:tcPr>
            <w:tcW w:w="3130"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公务员医疗补助缴费</w:t>
            </w:r>
          </w:p>
        </w:tc>
        <w:tc>
          <w:tcPr>
            <w:tcW w:w="94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1"/>
                <w:szCs w:val="21"/>
                <w:lang w:val="en-US" w:eastAsia="zh-CN"/>
              </w:rPr>
            </w:pPr>
          </w:p>
        </w:tc>
        <w:tc>
          <w:tcPr>
            <w:tcW w:w="849"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30209</w:t>
            </w:r>
          </w:p>
        </w:tc>
        <w:tc>
          <w:tcPr>
            <w:tcW w:w="2224"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物业管理费</w:t>
            </w:r>
          </w:p>
        </w:tc>
        <w:tc>
          <w:tcPr>
            <w:tcW w:w="109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1"/>
                <w:szCs w:val="21"/>
                <w:lang w:val="en-US" w:eastAsia="zh-CN"/>
              </w:rPr>
            </w:pPr>
          </w:p>
        </w:tc>
      </w:tr>
      <w:tr>
        <w:tblPrEx>
          <w:tblCellMar>
            <w:top w:w="0" w:type="dxa"/>
            <w:left w:w="108" w:type="dxa"/>
            <w:bottom w:w="0" w:type="dxa"/>
            <w:right w:w="108" w:type="dxa"/>
          </w:tblCellMar>
        </w:tblPrEx>
        <w:trPr>
          <w:trHeight w:val="90"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30112</w:t>
            </w:r>
          </w:p>
        </w:tc>
        <w:tc>
          <w:tcPr>
            <w:tcW w:w="3130"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其他社会保障缴费</w:t>
            </w:r>
          </w:p>
        </w:tc>
        <w:tc>
          <w:tcPr>
            <w:tcW w:w="94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0.11</w:t>
            </w:r>
          </w:p>
        </w:tc>
        <w:tc>
          <w:tcPr>
            <w:tcW w:w="849"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30211</w:t>
            </w:r>
          </w:p>
        </w:tc>
        <w:tc>
          <w:tcPr>
            <w:tcW w:w="2224"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差旅费</w:t>
            </w:r>
          </w:p>
        </w:tc>
        <w:tc>
          <w:tcPr>
            <w:tcW w:w="109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0.51</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30113</w:t>
            </w:r>
          </w:p>
        </w:tc>
        <w:tc>
          <w:tcPr>
            <w:tcW w:w="3130"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住房公积金</w:t>
            </w:r>
          </w:p>
        </w:tc>
        <w:tc>
          <w:tcPr>
            <w:tcW w:w="94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w:t>
            </w:r>
          </w:p>
        </w:tc>
        <w:tc>
          <w:tcPr>
            <w:tcW w:w="849"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30212</w:t>
            </w:r>
          </w:p>
        </w:tc>
        <w:tc>
          <w:tcPr>
            <w:tcW w:w="2224"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因公出国（境）费用</w:t>
            </w:r>
          </w:p>
        </w:tc>
        <w:tc>
          <w:tcPr>
            <w:tcW w:w="109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1"/>
                <w:szCs w:val="21"/>
                <w:lang w:val="en-US" w:eastAsia="zh-CN"/>
              </w:rPr>
            </w:pPr>
          </w:p>
        </w:tc>
      </w:tr>
      <w:tr>
        <w:tblPrEx>
          <w:tblCellMar>
            <w:top w:w="0" w:type="dxa"/>
            <w:left w:w="108" w:type="dxa"/>
            <w:bottom w:w="0" w:type="dxa"/>
            <w:right w:w="108" w:type="dxa"/>
          </w:tblCellMar>
        </w:tblPrEx>
        <w:trPr>
          <w:trHeight w:val="357"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30114</w:t>
            </w:r>
          </w:p>
        </w:tc>
        <w:tc>
          <w:tcPr>
            <w:tcW w:w="3130"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医疗费</w:t>
            </w:r>
          </w:p>
        </w:tc>
        <w:tc>
          <w:tcPr>
            <w:tcW w:w="94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1"/>
                <w:szCs w:val="21"/>
                <w:lang w:val="en-US" w:eastAsia="zh-CN"/>
              </w:rPr>
            </w:pPr>
          </w:p>
        </w:tc>
        <w:tc>
          <w:tcPr>
            <w:tcW w:w="849"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30213</w:t>
            </w:r>
          </w:p>
        </w:tc>
        <w:tc>
          <w:tcPr>
            <w:tcW w:w="2224"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维修（护）费</w:t>
            </w:r>
          </w:p>
        </w:tc>
        <w:tc>
          <w:tcPr>
            <w:tcW w:w="109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0.02</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30199</w:t>
            </w:r>
          </w:p>
        </w:tc>
        <w:tc>
          <w:tcPr>
            <w:tcW w:w="3130"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其他工资福利支出</w:t>
            </w:r>
          </w:p>
        </w:tc>
        <w:tc>
          <w:tcPr>
            <w:tcW w:w="94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1"/>
                <w:szCs w:val="21"/>
                <w:lang w:val="en-US" w:eastAsia="zh-CN"/>
              </w:rPr>
            </w:pPr>
          </w:p>
        </w:tc>
        <w:tc>
          <w:tcPr>
            <w:tcW w:w="849"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30214</w:t>
            </w:r>
          </w:p>
        </w:tc>
        <w:tc>
          <w:tcPr>
            <w:tcW w:w="2224"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租赁费</w:t>
            </w:r>
          </w:p>
        </w:tc>
        <w:tc>
          <w:tcPr>
            <w:tcW w:w="109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1"/>
                <w:szCs w:val="21"/>
                <w:lang w:val="en-US" w:eastAsia="zh-CN"/>
              </w:rPr>
            </w:pP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303</w:t>
            </w:r>
          </w:p>
        </w:tc>
        <w:tc>
          <w:tcPr>
            <w:tcW w:w="3130"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对个人和家庭的补助</w:t>
            </w:r>
          </w:p>
        </w:tc>
        <w:tc>
          <w:tcPr>
            <w:tcW w:w="94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1"/>
                <w:szCs w:val="21"/>
                <w:lang w:val="en-US" w:eastAsia="zh-CN"/>
              </w:rPr>
            </w:pPr>
          </w:p>
        </w:tc>
        <w:tc>
          <w:tcPr>
            <w:tcW w:w="849"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30215</w:t>
            </w:r>
          </w:p>
        </w:tc>
        <w:tc>
          <w:tcPr>
            <w:tcW w:w="2224"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会议费</w:t>
            </w:r>
          </w:p>
        </w:tc>
        <w:tc>
          <w:tcPr>
            <w:tcW w:w="109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1"/>
                <w:szCs w:val="21"/>
                <w:lang w:val="en-US" w:eastAsia="zh-CN"/>
              </w:rPr>
            </w:pP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30301</w:t>
            </w:r>
          </w:p>
        </w:tc>
        <w:tc>
          <w:tcPr>
            <w:tcW w:w="3130"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离休费</w:t>
            </w:r>
          </w:p>
        </w:tc>
        <w:tc>
          <w:tcPr>
            <w:tcW w:w="94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1"/>
                <w:szCs w:val="21"/>
                <w:lang w:val="en-US" w:eastAsia="zh-CN"/>
              </w:rPr>
            </w:pPr>
          </w:p>
        </w:tc>
        <w:tc>
          <w:tcPr>
            <w:tcW w:w="849"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30216</w:t>
            </w:r>
          </w:p>
        </w:tc>
        <w:tc>
          <w:tcPr>
            <w:tcW w:w="2224"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培训费</w:t>
            </w:r>
          </w:p>
        </w:tc>
        <w:tc>
          <w:tcPr>
            <w:tcW w:w="109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1"/>
                <w:szCs w:val="21"/>
                <w:lang w:val="en-US" w:eastAsia="zh-CN"/>
              </w:rPr>
            </w:pP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30302</w:t>
            </w:r>
          </w:p>
        </w:tc>
        <w:tc>
          <w:tcPr>
            <w:tcW w:w="3130"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退休费</w:t>
            </w:r>
          </w:p>
        </w:tc>
        <w:tc>
          <w:tcPr>
            <w:tcW w:w="94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1"/>
                <w:szCs w:val="21"/>
                <w:lang w:val="en-US" w:eastAsia="zh-CN"/>
              </w:rPr>
            </w:pPr>
          </w:p>
        </w:tc>
        <w:tc>
          <w:tcPr>
            <w:tcW w:w="849"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30217</w:t>
            </w:r>
          </w:p>
        </w:tc>
        <w:tc>
          <w:tcPr>
            <w:tcW w:w="2224"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公务接待费</w:t>
            </w:r>
          </w:p>
        </w:tc>
        <w:tc>
          <w:tcPr>
            <w:tcW w:w="109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1"/>
                <w:szCs w:val="21"/>
                <w:lang w:val="en-US" w:eastAsia="zh-CN"/>
              </w:rPr>
            </w:pP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30303</w:t>
            </w:r>
          </w:p>
        </w:tc>
        <w:tc>
          <w:tcPr>
            <w:tcW w:w="3130"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退职（役）费</w:t>
            </w:r>
          </w:p>
        </w:tc>
        <w:tc>
          <w:tcPr>
            <w:tcW w:w="94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1"/>
                <w:szCs w:val="21"/>
                <w:lang w:val="en-US" w:eastAsia="zh-CN"/>
              </w:rPr>
            </w:pPr>
          </w:p>
        </w:tc>
        <w:tc>
          <w:tcPr>
            <w:tcW w:w="849"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30218</w:t>
            </w:r>
          </w:p>
        </w:tc>
        <w:tc>
          <w:tcPr>
            <w:tcW w:w="2224"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专用材料费</w:t>
            </w:r>
          </w:p>
        </w:tc>
        <w:tc>
          <w:tcPr>
            <w:tcW w:w="109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1"/>
                <w:szCs w:val="21"/>
                <w:lang w:val="en-US" w:eastAsia="zh-CN"/>
              </w:rPr>
            </w:pP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30304</w:t>
            </w:r>
          </w:p>
        </w:tc>
        <w:tc>
          <w:tcPr>
            <w:tcW w:w="3130"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抚恤金</w:t>
            </w:r>
          </w:p>
        </w:tc>
        <w:tc>
          <w:tcPr>
            <w:tcW w:w="94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1"/>
                <w:szCs w:val="21"/>
                <w:lang w:val="en-US" w:eastAsia="zh-CN"/>
              </w:rPr>
            </w:pPr>
          </w:p>
        </w:tc>
        <w:tc>
          <w:tcPr>
            <w:tcW w:w="849"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30224</w:t>
            </w:r>
          </w:p>
        </w:tc>
        <w:tc>
          <w:tcPr>
            <w:tcW w:w="2224"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被装购置费</w:t>
            </w:r>
          </w:p>
        </w:tc>
        <w:tc>
          <w:tcPr>
            <w:tcW w:w="109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1"/>
                <w:szCs w:val="21"/>
                <w:lang w:val="en-US" w:eastAsia="zh-CN"/>
              </w:rPr>
            </w:pP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30305</w:t>
            </w:r>
          </w:p>
        </w:tc>
        <w:tc>
          <w:tcPr>
            <w:tcW w:w="3130"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生活补助</w:t>
            </w:r>
          </w:p>
        </w:tc>
        <w:tc>
          <w:tcPr>
            <w:tcW w:w="94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1"/>
                <w:szCs w:val="21"/>
                <w:lang w:val="en-US" w:eastAsia="zh-CN"/>
              </w:rPr>
            </w:pPr>
          </w:p>
        </w:tc>
        <w:tc>
          <w:tcPr>
            <w:tcW w:w="849"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30225</w:t>
            </w:r>
          </w:p>
        </w:tc>
        <w:tc>
          <w:tcPr>
            <w:tcW w:w="2224"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专用燃料费</w:t>
            </w:r>
          </w:p>
        </w:tc>
        <w:tc>
          <w:tcPr>
            <w:tcW w:w="109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1"/>
                <w:szCs w:val="21"/>
                <w:lang w:val="en-US" w:eastAsia="zh-CN"/>
              </w:rPr>
            </w:pP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30306</w:t>
            </w:r>
          </w:p>
        </w:tc>
        <w:tc>
          <w:tcPr>
            <w:tcW w:w="3130"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救济费</w:t>
            </w:r>
          </w:p>
        </w:tc>
        <w:tc>
          <w:tcPr>
            <w:tcW w:w="94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1"/>
                <w:szCs w:val="21"/>
                <w:lang w:val="en-US" w:eastAsia="zh-CN"/>
              </w:rPr>
            </w:pPr>
          </w:p>
        </w:tc>
        <w:tc>
          <w:tcPr>
            <w:tcW w:w="849"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30226</w:t>
            </w:r>
          </w:p>
        </w:tc>
        <w:tc>
          <w:tcPr>
            <w:tcW w:w="2224"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劳务费</w:t>
            </w:r>
          </w:p>
        </w:tc>
        <w:tc>
          <w:tcPr>
            <w:tcW w:w="109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1"/>
                <w:szCs w:val="21"/>
                <w:lang w:val="en-US" w:eastAsia="zh-CN"/>
              </w:rPr>
            </w:pP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30307</w:t>
            </w:r>
          </w:p>
        </w:tc>
        <w:tc>
          <w:tcPr>
            <w:tcW w:w="3130"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医疗费补助</w:t>
            </w:r>
          </w:p>
        </w:tc>
        <w:tc>
          <w:tcPr>
            <w:tcW w:w="94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1"/>
                <w:szCs w:val="21"/>
                <w:lang w:val="en-US" w:eastAsia="zh-CN"/>
              </w:rPr>
            </w:pPr>
          </w:p>
        </w:tc>
        <w:tc>
          <w:tcPr>
            <w:tcW w:w="849"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30227</w:t>
            </w:r>
          </w:p>
        </w:tc>
        <w:tc>
          <w:tcPr>
            <w:tcW w:w="2224"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委托业务费</w:t>
            </w:r>
          </w:p>
        </w:tc>
        <w:tc>
          <w:tcPr>
            <w:tcW w:w="109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1"/>
                <w:szCs w:val="21"/>
                <w:lang w:val="en-US" w:eastAsia="zh-CN"/>
              </w:rPr>
            </w:pP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30308</w:t>
            </w:r>
          </w:p>
        </w:tc>
        <w:tc>
          <w:tcPr>
            <w:tcW w:w="3130"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助学金</w:t>
            </w:r>
          </w:p>
        </w:tc>
        <w:tc>
          <w:tcPr>
            <w:tcW w:w="94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1"/>
                <w:szCs w:val="21"/>
                <w:lang w:val="en-US" w:eastAsia="zh-CN"/>
              </w:rPr>
            </w:pPr>
          </w:p>
        </w:tc>
        <w:tc>
          <w:tcPr>
            <w:tcW w:w="849"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30228</w:t>
            </w:r>
          </w:p>
        </w:tc>
        <w:tc>
          <w:tcPr>
            <w:tcW w:w="2224"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工会经费</w:t>
            </w:r>
          </w:p>
        </w:tc>
        <w:tc>
          <w:tcPr>
            <w:tcW w:w="109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0.43</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30309</w:t>
            </w:r>
          </w:p>
        </w:tc>
        <w:tc>
          <w:tcPr>
            <w:tcW w:w="3130"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奖励金</w:t>
            </w:r>
          </w:p>
        </w:tc>
        <w:tc>
          <w:tcPr>
            <w:tcW w:w="94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1"/>
                <w:szCs w:val="21"/>
                <w:lang w:val="en-US" w:eastAsia="zh-CN"/>
              </w:rPr>
            </w:pPr>
          </w:p>
        </w:tc>
        <w:tc>
          <w:tcPr>
            <w:tcW w:w="849"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30229</w:t>
            </w:r>
          </w:p>
        </w:tc>
        <w:tc>
          <w:tcPr>
            <w:tcW w:w="2224"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福利费</w:t>
            </w:r>
          </w:p>
        </w:tc>
        <w:tc>
          <w:tcPr>
            <w:tcW w:w="109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1"/>
                <w:szCs w:val="21"/>
                <w:lang w:val="en-US" w:eastAsia="zh-CN"/>
              </w:rPr>
            </w:pP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30310</w:t>
            </w:r>
          </w:p>
        </w:tc>
        <w:tc>
          <w:tcPr>
            <w:tcW w:w="3130"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个人农业生产补贴</w:t>
            </w:r>
          </w:p>
        </w:tc>
        <w:tc>
          <w:tcPr>
            <w:tcW w:w="94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1"/>
                <w:szCs w:val="21"/>
                <w:lang w:val="en-US" w:eastAsia="zh-CN"/>
              </w:rPr>
            </w:pPr>
          </w:p>
        </w:tc>
        <w:tc>
          <w:tcPr>
            <w:tcW w:w="849"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30231</w:t>
            </w:r>
          </w:p>
        </w:tc>
        <w:tc>
          <w:tcPr>
            <w:tcW w:w="2224"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公务用车运行维护费</w:t>
            </w:r>
          </w:p>
        </w:tc>
        <w:tc>
          <w:tcPr>
            <w:tcW w:w="109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1"/>
                <w:szCs w:val="21"/>
                <w:lang w:val="en-US" w:eastAsia="zh-CN"/>
              </w:rPr>
            </w:pP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30311</w:t>
            </w:r>
          </w:p>
        </w:tc>
        <w:tc>
          <w:tcPr>
            <w:tcW w:w="3130"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代缴社会保险费</w:t>
            </w:r>
          </w:p>
        </w:tc>
        <w:tc>
          <w:tcPr>
            <w:tcW w:w="94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1"/>
                <w:szCs w:val="21"/>
                <w:lang w:val="en-US" w:eastAsia="zh-CN"/>
              </w:rPr>
            </w:pPr>
          </w:p>
        </w:tc>
        <w:tc>
          <w:tcPr>
            <w:tcW w:w="849"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30239</w:t>
            </w:r>
          </w:p>
        </w:tc>
        <w:tc>
          <w:tcPr>
            <w:tcW w:w="2224"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其他交通费用</w:t>
            </w:r>
          </w:p>
        </w:tc>
        <w:tc>
          <w:tcPr>
            <w:tcW w:w="109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1"/>
                <w:szCs w:val="21"/>
                <w:lang w:val="en-US" w:eastAsia="zh-CN"/>
              </w:rPr>
            </w:pP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cs="Times New Roman"/>
                <w:color w:val="000000"/>
                <w:kern w:val="0"/>
                <w:sz w:val="21"/>
                <w:szCs w:val="21"/>
                <w:lang w:val="en-US" w:eastAsia="zh-CN"/>
              </w:rPr>
              <w:t>30399</w:t>
            </w:r>
          </w:p>
        </w:tc>
        <w:tc>
          <w:tcPr>
            <w:tcW w:w="3130" w:type="dxa"/>
            <w:tcBorders>
              <w:top w:val="nil"/>
              <w:left w:val="nil"/>
              <w:bottom w:val="single" w:color="auto" w:sz="4" w:space="0"/>
              <w:right w:val="single" w:color="auto" w:sz="4" w:space="0"/>
            </w:tcBorders>
            <w:vAlign w:val="center"/>
          </w:tcPr>
          <w:p>
            <w:pPr>
              <w:widowControl/>
              <w:jc w:val="both"/>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cs="Times New Roman"/>
                <w:color w:val="000000"/>
                <w:kern w:val="0"/>
                <w:sz w:val="22"/>
                <w:szCs w:val="22"/>
                <w:lang w:val="en-US" w:eastAsia="zh-CN"/>
              </w:rPr>
              <w:t>其他对个人和家庭的补助</w:t>
            </w:r>
          </w:p>
        </w:tc>
        <w:tc>
          <w:tcPr>
            <w:tcW w:w="94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1"/>
                <w:szCs w:val="21"/>
                <w:lang w:val="en-US" w:eastAsia="zh-CN"/>
              </w:rPr>
            </w:pPr>
          </w:p>
        </w:tc>
        <w:tc>
          <w:tcPr>
            <w:tcW w:w="849"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30240</w:t>
            </w:r>
          </w:p>
        </w:tc>
        <w:tc>
          <w:tcPr>
            <w:tcW w:w="2224"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税金及附加费用</w:t>
            </w:r>
          </w:p>
        </w:tc>
        <w:tc>
          <w:tcPr>
            <w:tcW w:w="109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1"/>
                <w:szCs w:val="21"/>
                <w:lang w:val="en-US" w:eastAsia="zh-CN"/>
              </w:rPr>
            </w:pPr>
          </w:p>
        </w:tc>
      </w:tr>
      <w:tr>
        <w:tblPrEx>
          <w:tblCellMar>
            <w:top w:w="0" w:type="dxa"/>
            <w:left w:w="108" w:type="dxa"/>
            <w:bottom w:w="0" w:type="dxa"/>
            <w:right w:w="108" w:type="dxa"/>
          </w:tblCellMar>
        </w:tblPrEx>
        <w:trPr>
          <w:trHeight w:val="379"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p>
        </w:tc>
        <w:tc>
          <w:tcPr>
            <w:tcW w:w="3130"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p>
        </w:tc>
        <w:tc>
          <w:tcPr>
            <w:tcW w:w="94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1"/>
                <w:szCs w:val="21"/>
                <w:lang w:val="en-US" w:eastAsia="zh-CN"/>
              </w:rPr>
            </w:pPr>
          </w:p>
        </w:tc>
        <w:tc>
          <w:tcPr>
            <w:tcW w:w="849"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30299</w:t>
            </w:r>
          </w:p>
        </w:tc>
        <w:tc>
          <w:tcPr>
            <w:tcW w:w="2224" w:type="dxa"/>
            <w:tcBorders>
              <w:top w:val="nil"/>
              <w:left w:val="nil"/>
              <w:bottom w:val="single" w:color="auto" w:sz="4" w:space="0"/>
              <w:right w:val="single" w:color="auto" w:sz="4" w:space="0"/>
            </w:tcBorders>
            <w:vAlign w:val="center"/>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其他商品和服务支出</w:t>
            </w:r>
          </w:p>
        </w:tc>
        <w:tc>
          <w:tcPr>
            <w:tcW w:w="1091" w:type="dxa"/>
            <w:tcBorders>
              <w:top w:val="nil"/>
              <w:left w:val="nil"/>
              <w:bottom w:val="single" w:color="auto" w:sz="4" w:space="0"/>
              <w:right w:val="single" w:color="auto" w:sz="4" w:space="0"/>
            </w:tcBorders>
            <w:vAlign w:val="bottom"/>
          </w:tcPr>
          <w:p>
            <w:pPr>
              <w:widowControl/>
              <w:jc w:val="center"/>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1.2</w:t>
            </w:r>
          </w:p>
        </w:tc>
      </w:tr>
      <w:tr>
        <w:tblPrEx>
          <w:tblCellMar>
            <w:top w:w="0" w:type="dxa"/>
            <w:left w:w="108" w:type="dxa"/>
            <w:bottom w:w="0" w:type="dxa"/>
            <w:right w:w="108" w:type="dxa"/>
          </w:tblCellMar>
        </w:tblPrEx>
        <w:trPr>
          <w:trHeight w:val="266" w:hRule="atLeast"/>
          <w:jc w:val="center"/>
        </w:trPr>
        <w:tc>
          <w:tcPr>
            <w:tcW w:w="4046" w:type="dxa"/>
            <w:gridSpan w:val="2"/>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cs="Times New Roman"/>
                <w:color w:val="000000"/>
                <w:kern w:val="0"/>
                <w:sz w:val="22"/>
                <w:szCs w:val="22"/>
                <w:lang w:eastAsia="zh-CN"/>
              </w:rPr>
              <w:t>人员经费合计</w:t>
            </w:r>
          </w:p>
        </w:tc>
        <w:tc>
          <w:tcPr>
            <w:tcW w:w="94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cs="Times New Roman"/>
                <w:color w:val="000000"/>
                <w:kern w:val="0"/>
                <w:sz w:val="22"/>
                <w:szCs w:val="22"/>
                <w:lang w:val="en-US" w:eastAsia="zh-CN" w:bidi="ar-SA"/>
              </w:rPr>
              <w:t>27.27</w:t>
            </w:r>
          </w:p>
        </w:tc>
        <w:tc>
          <w:tcPr>
            <w:tcW w:w="3073" w:type="dxa"/>
            <w:gridSpan w:val="2"/>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Times New Roman" w:hAnsi="Times New Roman" w:eastAsia="宋体" w:cs="Times New Roman"/>
                <w:color w:val="000000"/>
                <w:kern w:val="0"/>
                <w:sz w:val="22"/>
                <w:szCs w:val="22"/>
                <w:lang w:val="en-US" w:eastAsia="zh-CN" w:bidi="ar-SA"/>
              </w:rPr>
            </w:pPr>
            <w:r>
              <w:rPr>
                <w:rFonts w:hint="default" w:ascii="Times New Roman" w:hAnsi="Times New Roman" w:cs="Times New Roman"/>
                <w:color w:val="000000"/>
                <w:kern w:val="0"/>
                <w:sz w:val="22"/>
                <w:szCs w:val="22"/>
                <w:lang w:eastAsia="zh-CN"/>
              </w:rPr>
              <w:t>公用经费合计</w:t>
            </w:r>
          </w:p>
        </w:tc>
        <w:tc>
          <w:tcPr>
            <w:tcW w:w="109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cs="Times New Roman"/>
                <w:color w:val="000000"/>
                <w:kern w:val="0"/>
                <w:sz w:val="21"/>
                <w:szCs w:val="21"/>
                <w:lang w:val="en-US" w:eastAsia="zh-CN" w:bidi="ar-SA"/>
              </w:rPr>
              <w:t>2.9</w:t>
            </w:r>
          </w:p>
        </w:tc>
      </w:tr>
    </w:tbl>
    <w:p>
      <w:pPr>
        <w:rPr>
          <w:rFonts w:hint="default" w:ascii="Times New Roman" w:hAnsi="Times New Roman" w:cs="Times New Roman"/>
        </w:rPr>
        <w:sectPr>
          <w:pgSz w:w="11906" w:h="16838"/>
          <w:pgMar w:top="1440" w:right="1797" w:bottom="1440" w:left="1797" w:header="851" w:footer="992" w:gutter="0"/>
          <w:pgNumType w:fmt="numberInDash"/>
          <w:cols w:space="720" w:num="1"/>
          <w:docGrid w:type="lines" w:linePitch="312" w:charSpace="0"/>
        </w:sectPr>
      </w:pPr>
      <w:r>
        <w:rPr>
          <w:rFonts w:hint="default" w:ascii="Times New Roman" w:hAnsi="Times New Roman" w:cs="Times New Roman"/>
        </w:rPr>
        <w:t>注：本表反映</w:t>
      </w:r>
      <w:r>
        <w:rPr>
          <w:rFonts w:hint="eastAsia" w:cs="Times New Roman"/>
          <w:lang w:eastAsia="zh-CN"/>
        </w:rPr>
        <w:t>单位</w:t>
      </w:r>
      <w:r>
        <w:rPr>
          <w:rFonts w:hint="default" w:ascii="Times New Roman" w:hAnsi="Times New Roman" w:cs="Times New Roman"/>
        </w:rPr>
        <w:t>本年度一般公共预算财政拨款基本支出明细情况。</w:t>
      </w:r>
    </w:p>
    <w:p>
      <w:pPr>
        <w:jc w:val="center"/>
        <w:rPr>
          <w:rFonts w:hint="default" w:ascii="Times New Roman" w:hAnsi="Times New Roman" w:eastAsia="方正小标宋简体" w:cs="Times New Roman"/>
          <w:kern w:val="0"/>
          <w:sz w:val="36"/>
          <w:szCs w:val="36"/>
        </w:rPr>
      </w:pPr>
    </w:p>
    <w:p>
      <w:pPr>
        <w:jc w:val="center"/>
        <w:rPr>
          <w:rFonts w:hint="default" w:ascii="Times New Roman" w:hAnsi="Times New Roman" w:eastAsia="方正小标宋简体" w:cs="Times New Roman"/>
          <w:kern w:val="0"/>
          <w:sz w:val="36"/>
          <w:szCs w:val="36"/>
        </w:rPr>
      </w:pPr>
      <w:r>
        <w:rPr>
          <w:rFonts w:hint="default" w:ascii="Times New Roman" w:hAnsi="Times New Roman" w:eastAsia="方正小标宋简体" w:cs="Times New Roman"/>
          <w:kern w:val="0"/>
          <w:sz w:val="36"/>
          <w:szCs w:val="36"/>
        </w:rPr>
        <w:t>表七：</w:t>
      </w:r>
      <w:r>
        <w:rPr>
          <w:rFonts w:hint="default" w:ascii="Times New Roman" w:hAnsi="Times New Roman" w:eastAsia="方正小标宋简体" w:cs="Times New Roman"/>
          <w:sz w:val="36"/>
          <w:szCs w:val="36"/>
        </w:rPr>
        <w:t>一般</w:t>
      </w:r>
      <w:r>
        <w:rPr>
          <w:rFonts w:hint="default" w:ascii="Times New Roman" w:hAnsi="Times New Roman" w:eastAsia="方正小标宋简体" w:cs="Times New Roman"/>
          <w:kern w:val="0"/>
          <w:sz w:val="36"/>
          <w:szCs w:val="36"/>
        </w:rPr>
        <w:t>公共预算财政拨款安排的“三公”经费支出决算表</w:t>
      </w:r>
    </w:p>
    <w:p>
      <w:pPr>
        <w:rPr>
          <w:rFonts w:hint="default" w:ascii="Times New Roman" w:hAnsi="Times New Roman" w:cs="Times New Roman"/>
        </w:rPr>
      </w:pPr>
    </w:p>
    <w:p>
      <w:pPr>
        <w:jc w:val="right"/>
        <w:rPr>
          <w:rFonts w:hint="default" w:ascii="Times New Roman" w:hAnsi="Times New Roman" w:cs="Times New Roman"/>
        </w:rPr>
      </w:pPr>
      <w:r>
        <w:rPr>
          <w:rFonts w:hint="default" w:ascii="Times New Roman" w:hAnsi="Times New Roman" w:cs="Times New Roman"/>
        </w:rPr>
        <w:t>单位：万元</w:t>
      </w:r>
    </w:p>
    <w:tbl>
      <w:tblPr>
        <w:tblStyle w:val="6"/>
        <w:tblW w:w="13921" w:type="dxa"/>
        <w:jc w:val="center"/>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2020年度预算数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2020年度决算数</w:t>
            </w:r>
          </w:p>
        </w:tc>
      </w:tr>
      <w:tr>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合计</w:t>
            </w:r>
          </w:p>
        </w:tc>
        <w:tc>
          <w:tcPr>
            <w:tcW w:w="1603" w:type="dxa"/>
            <w:vMerge w:val="restart"/>
            <w:tcBorders>
              <w:top w:val="nil"/>
              <w:left w:val="nil"/>
              <w:right w:val="single" w:color="auto" w:sz="4" w:space="0"/>
            </w:tcBorders>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因公出国(境）费</w:t>
            </w:r>
          </w:p>
        </w:tc>
        <w:tc>
          <w:tcPr>
            <w:tcW w:w="3312" w:type="dxa"/>
            <w:gridSpan w:val="3"/>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公务接待费</w:t>
            </w:r>
          </w:p>
        </w:tc>
        <w:tc>
          <w:tcPr>
            <w:tcW w:w="806" w:type="dxa"/>
            <w:vMerge w:val="restar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合计</w:t>
            </w:r>
          </w:p>
        </w:tc>
        <w:tc>
          <w:tcPr>
            <w:tcW w:w="1560" w:type="dxa"/>
            <w:vMerge w:val="restart"/>
            <w:tcBorders>
              <w:top w:val="nil"/>
              <w:left w:val="nil"/>
              <w:right w:val="single" w:color="auto" w:sz="4" w:space="0"/>
            </w:tcBorders>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因公出国(境）费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公务接待费</w:t>
            </w:r>
          </w:p>
        </w:tc>
      </w:tr>
      <w:tr>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rPr>
            </w:pPr>
          </w:p>
        </w:tc>
        <w:tc>
          <w:tcPr>
            <w:tcW w:w="1603" w:type="dxa"/>
            <w:vMerge w:val="continue"/>
            <w:tcBorders>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rPr>
            </w:pPr>
          </w:p>
        </w:tc>
        <w:tc>
          <w:tcPr>
            <w:tcW w:w="82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公务用车 购置费</w:t>
            </w:r>
          </w:p>
        </w:tc>
        <w:tc>
          <w:tcPr>
            <w:tcW w:w="1242"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rPr>
            </w:pPr>
          </w:p>
        </w:tc>
        <w:tc>
          <w:tcPr>
            <w:tcW w:w="1560" w:type="dxa"/>
            <w:vMerge w:val="continue"/>
            <w:tcBorders>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rPr>
            </w:pPr>
          </w:p>
        </w:tc>
        <w:tc>
          <w:tcPr>
            <w:tcW w:w="806"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公务用车 购置费</w:t>
            </w:r>
          </w:p>
        </w:tc>
        <w:tc>
          <w:tcPr>
            <w:tcW w:w="120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1</w:t>
            </w:r>
          </w:p>
        </w:tc>
        <w:tc>
          <w:tcPr>
            <w:tcW w:w="1603" w:type="dxa"/>
            <w:tcBorders>
              <w:top w:val="nil"/>
              <w:left w:val="nil"/>
              <w:bottom w:val="single" w:color="auto" w:sz="4" w:space="0"/>
              <w:right w:val="single" w:color="auto" w:sz="4" w:space="0"/>
            </w:tcBorders>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2</w:t>
            </w:r>
          </w:p>
        </w:tc>
        <w:tc>
          <w:tcPr>
            <w:tcW w:w="828" w:type="dxa"/>
            <w:tcBorders>
              <w:top w:val="nil"/>
              <w:left w:val="nil"/>
              <w:bottom w:val="single" w:color="auto" w:sz="4" w:space="0"/>
              <w:right w:val="single" w:color="auto" w:sz="4" w:space="0"/>
            </w:tcBorders>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w:t>
            </w:r>
          </w:p>
        </w:tc>
        <w:tc>
          <w:tcPr>
            <w:tcW w:w="1242" w:type="dxa"/>
            <w:tcBorders>
              <w:top w:val="nil"/>
              <w:left w:val="nil"/>
              <w:bottom w:val="single" w:color="auto" w:sz="4" w:space="0"/>
              <w:right w:val="single" w:color="auto" w:sz="4" w:space="0"/>
            </w:tcBorders>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4</w:t>
            </w:r>
          </w:p>
        </w:tc>
        <w:tc>
          <w:tcPr>
            <w:tcW w:w="1242" w:type="dxa"/>
            <w:tcBorders>
              <w:top w:val="nil"/>
              <w:left w:val="nil"/>
              <w:bottom w:val="single" w:color="auto" w:sz="4" w:space="0"/>
              <w:right w:val="single" w:color="auto" w:sz="4" w:space="0"/>
            </w:tcBorders>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5</w:t>
            </w:r>
          </w:p>
        </w:tc>
        <w:tc>
          <w:tcPr>
            <w:tcW w:w="1216" w:type="dxa"/>
            <w:tcBorders>
              <w:top w:val="nil"/>
              <w:left w:val="nil"/>
              <w:bottom w:val="single" w:color="auto" w:sz="4" w:space="0"/>
              <w:right w:val="single" w:color="auto" w:sz="4" w:space="0"/>
            </w:tcBorders>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6</w:t>
            </w:r>
          </w:p>
        </w:tc>
        <w:tc>
          <w:tcPr>
            <w:tcW w:w="806" w:type="dxa"/>
            <w:tcBorders>
              <w:top w:val="nil"/>
              <w:left w:val="nil"/>
              <w:bottom w:val="single" w:color="auto" w:sz="4" w:space="0"/>
              <w:right w:val="single" w:color="auto" w:sz="4" w:space="0"/>
            </w:tcBorders>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7</w:t>
            </w:r>
          </w:p>
        </w:tc>
        <w:tc>
          <w:tcPr>
            <w:tcW w:w="1560" w:type="dxa"/>
            <w:tcBorders>
              <w:top w:val="nil"/>
              <w:left w:val="nil"/>
              <w:bottom w:val="single" w:color="auto" w:sz="4" w:space="0"/>
              <w:right w:val="single" w:color="auto" w:sz="4" w:space="0"/>
            </w:tcBorders>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8</w:t>
            </w:r>
          </w:p>
        </w:tc>
        <w:tc>
          <w:tcPr>
            <w:tcW w:w="806" w:type="dxa"/>
            <w:tcBorders>
              <w:top w:val="nil"/>
              <w:left w:val="nil"/>
              <w:bottom w:val="single" w:color="auto" w:sz="4" w:space="0"/>
              <w:right w:val="single" w:color="auto" w:sz="4" w:space="0"/>
            </w:tcBorders>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9</w:t>
            </w:r>
          </w:p>
        </w:tc>
        <w:tc>
          <w:tcPr>
            <w:tcW w:w="1398" w:type="dxa"/>
            <w:tcBorders>
              <w:top w:val="nil"/>
              <w:left w:val="nil"/>
              <w:bottom w:val="single" w:color="auto" w:sz="4" w:space="0"/>
              <w:right w:val="single" w:color="auto" w:sz="4" w:space="0"/>
            </w:tcBorders>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10</w:t>
            </w:r>
          </w:p>
        </w:tc>
        <w:tc>
          <w:tcPr>
            <w:tcW w:w="1208" w:type="dxa"/>
            <w:tcBorders>
              <w:top w:val="nil"/>
              <w:left w:val="nil"/>
              <w:bottom w:val="single" w:color="auto" w:sz="4" w:space="0"/>
              <w:right w:val="single" w:color="auto" w:sz="4" w:space="0"/>
            </w:tcBorders>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11</w:t>
            </w:r>
          </w:p>
        </w:tc>
        <w:tc>
          <w:tcPr>
            <w:tcW w:w="1183" w:type="dxa"/>
            <w:tcBorders>
              <w:top w:val="nil"/>
              <w:left w:val="nil"/>
              <w:bottom w:val="single" w:color="auto" w:sz="4" w:space="0"/>
              <w:right w:val="single" w:color="auto" w:sz="4" w:space="0"/>
            </w:tcBorders>
          </w:tcPr>
          <w:p>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12</w:t>
            </w:r>
          </w:p>
        </w:tc>
      </w:tr>
      <w:tr>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tcPr>
          <w:p>
            <w:pPr>
              <w:widowControl/>
              <w:ind w:firstLine="210" w:firstLineChars="10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0.11</w:t>
            </w:r>
          </w:p>
        </w:tc>
        <w:tc>
          <w:tcPr>
            <w:tcW w:w="1603" w:type="dxa"/>
            <w:tcBorders>
              <w:top w:val="nil"/>
              <w:left w:val="nil"/>
              <w:bottom w:val="single" w:color="auto" w:sz="4" w:space="0"/>
              <w:right w:val="single" w:color="auto" w:sz="4" w:space="0"/>
            </w:tcBorders>
          </w:tcPr>
          <w:p>
            <w:pPr>
              <w:widowControl/>
              <w:ind w:firstLine="210" w:firstLineChars="100"/>
              <w:jc w:val="center"/>
              <w:rPr>
                <w:rFonts w:hint="default" w:ascii="Times New Roman" w:hAnsi="Times New Roman" w:cs="Times New Roman"/>
                <w:color w:val="000000"/>
                <w:kern w:val="0"/>
                <w:sz w:val="21"/>
                <w:szCs w:val="21"/>
              </w:rPr>
            </w:pPr>
          </w:p>
        </w:tc>
        <w:tc>
          <w:tcPr>
            <w:tcW w:w="828" w:type="dxa"/>
            <w:tcBorders>
              <w:top w:val="nil"/>
              <w:left w:val="nil"/>
              <w:bottom w:val="single" w:color="auto" w:sz="4" w:space="0"/>
              <w:right w:val="single" w:color="auto" w:sz="4" w:space="0"/>
            </w:tcBorders>
          </w:tcPr>
          <w:p>
            <w:pPr>
              <w:widowControl/>
              <w:ind w:firstLine="210" w:firstLineChars="100"/>
              <w:jc w:val="center"/>
              <w:rPr>
                <w:rFonts w:hint="default" w:ascii="Times New Roman" w:hAnsi="Times New Roman" w:cs="Times New Roman"/>
                <w:color w:val="000000"/>
                <w:kern w:val="0"/>
                <w:sz w:val="21"/>
                <w:szCs w:val="21"/>
              </w:rPr>
            </w:pPr>
          </w:p>
        </w:tc>
        <w:tc>
          <w:tcPr>
            <w:tcW w:w="1242" w:type="dxa"/>
            <w:tcBorders>
              <w:top w:val="nil"/>
              <w:left w:val="nil"/>
              <w:bottom w:val="single" w:color="auto" w:sz="4" w:space="0"/>
              <w:right w:val="single" w:color="auto" w:sz="4" w:space="0"/>
            </w:tcBorders>
          </w:tcPr>
          <w:p>
            <w:pPr>
              <w:widowControl/>
              <w:jc w:val="center"/>
              <w:rPr>
                <w:rFonts w:hint="default" w:ascii="Times New Roman" w:hAnsi="Times New Roman" w:cs="Times New Roman"/>
                <w:color w:val="000000"/>
                <w:kern w:val="0"/>
                <w:sz w:val="21"/>
                <w:szCs w:val="21"/>
              </w:rPr>
            </w:pPr>
          </w:p>
        </w:tc>
        <w:tc>
          <w:tcPr>
            <w:tcW w:w="1242" w:type="dxa"/>
            <w:tcBorders>
              <w:top w:val="nil"/>
              <w:left w:val="nil"/>
              <w:bottom w:val="single" w:color="auto" w:sz="4" w:space="0"/>
              <w:right w:val="single" w:color="auto" w:sz="4" w:space="0"/>
            </w:tcBorders>
          </w:tcPr>
          <w:p>
            <w:pPr>
              <w:widowControl/>
              <w:jc w:val="center"/>
              <w:rPr>
                <w:rFonts w:hint="default" w:ascii="Times New Roman" w:hAnsi="Times New Roman" w:cs="Times New Roman"/>
                <w:color w:val="000000"/>
                <w:kern w:val="0"/>
                <w:sz w:val="21"/>
                <w:szCs w:val="21"/>
              </w:rPr>
            </w:pPr>
          </w:p>
        </w:tc>
        <w:tc>
          <w:tcPr>
            <w:tcW w:w="1216" w:type="dxa"/>
            <w:tcBorders>
              <w:top w:val="nil"/>
              <w:left w:val="nil"/>
              <w:bottom w:val="single" w:color="auto" w:sz="4" w:space="0"/>
              <w:right w:val="single" w:color="auto" w:sz="4" w:space="0"/>
            </w:tcBorders>
          </w:tcPr>
          <w:p>
            <w:pPr>
              <w:widowControl/>
              <w:ind w:firstLine="210" w:firstLineChars="10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0.11</w:t>
            </w:r>
          </w:p>
        </w:tc>
        <w:tc>
          <w:tcPr>
            <w:tcW w:w="806" w:type="dxa"/>
            <w:tcBorders>
              <w:top w:val="nil"/>
              <w:left w:val="nil"/>
              <w:bottom w:val="single" w:color="auto" w:sz="4" w:space="0"/>
              <w:right w:val="single" w:color="auto" w:sz="4" w:space="0"/>
            </w:tcBorders>
          </w:tcPr>
          <w:p>
            <w:pPr>
              <w:widowControl/>
              <w:ind w:firstLine="210" w:firstLineChars="100"/>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val="en-US" w:eastAsia="zh-CN"/>
              </w:rPr>
              <w:t>0</w:t>
            </w:r>
          </w:p>
        </w:tc>
        <w:tc>
          <w:tcPr>
            <w:tcW w:w="1560" w:type="dxa"/>
            <w:tcBorders>
              <w:top w:val="nil"/>
              <w:left w:val="nil"/>
              <w:bottom w:val="single" w:color="auto" w:sz="4" w:space="0"/>
              <w:right w:val="single" w:color="auto" w:sz="4" w:space="0"/>
            </w:tcBorders>
          </w:tcPr>
          <w:p>
            <w:pPr>
              <w:widowControl/>
              <w:ind w:firstLine="210" w:firstLineChars="100"/>
              <w:jc w:val="center"/>
              <w:rPr>
                <w:rFonts w:hint="default" w:ascii="Times New Roman" w:hAnsi="Times New Roman" w:cs="Times New Roman"/>
                <w:color w:val="000000"/>
                <w:kern w:val="0"/>
                <w:sz w:val="21"/>
                <w:szCs w:val="21"/>
              </w:rPr>
            </w:pPr>
          </w:p>
        </w:tc>
        <w:tc>
          <w:tcPr>
            <w:tcW w:w="806" w:type="dxa"/>
            <w:tcBorders>
              <w:top w:val="nil"/>
              <w:left w:val="nil"/>
              <w:bottom w:val="single" w:color="auto" w:sz="4" w:space="0"/>
              <w:right w:val="single" w:color="auto" w:sz="4" w:space="0"/>
            </w:tcBorders>
          </w:tcPr>
          <w:p>
            <w:pPr>
              <w:widowControl/>
              <w:ind w:firstLine="210" w:firstLineChars="100"/>
              <w:jc w:val="center"/>
              <w:rPr>
                <w:rFonts w:hint="default" w:ascii="Times New Roman" w:hAnsi="Times New Roman" w:cs="Times New Roman"/>
                <w:color w:val="000000"/>
                <w:kern w:val="0"/>
                <w:sz w:val="21"/>
                <w:szCs w:val="21"/>
              </w:rPr>
            </w:pPr>
          </w:p>
        </w:tc>
        <w:tc>
          <w:tcPr>
            <w:tcW w:w="1398" w:type="dxa"/>
            <w:tcBorders>
              <w:top w:val="nil"/>
              <w:left w:val="nil"/>
              <w:bottom w:val="single" w:color="auto" w:sz="4" w:space="0"/>
              <w:right w:val="single" w:color="auto" w:sz="4" w:space="0"/>
            </w:tcBorders>
          </w:tcPr>
          <w:p>
            <w:pPr>
              <w:widowControl/>
              <w:ind w:firstLine="420" w:firstLineChars="200"/>
              <w:jc w:val="center"/>
              <w:rPr>
                <w:rFonts w:hint="default" w:ascii="Times New Roman" w:hAnsi="Times New Roman" w:cs="Times New Roman"/>
                <w:color w:val="000000"/>
                <w:kern w:val="0"/>
                <w:sz w:val="21"/>
                <w:szCs w:val="21"/>
              </w:rPr>
            </w:pPr>
          </w:p>
        </w:tc>
        <w:tc>
          <w:tcPr>
            <w:tcW w:w="1208" w:type="dxa"/>
            <w:tcBorders>
              <w:top w:val="nil"/>
              <w:left w:val="nil"/>
              <w:bottom w:val="single" w:color="auto" w:sz="4" w:space="0"/>
              <w:right w:val="single" w:color="auto" w:sz="4" w:space="0"/>
            </w:tcBorders>
          </w:tcPr>
          <w:p>
            <w:pPr>
              <w:widowControl/>
              <w:jc w:val="center"/>
              <w:rPr>
                <w:rFonts w:hint="default" w:ascii="Times New Roman" w:hAnsi="Times New Roman" w:cs="Times New Roman"/>
                <w:color w:val="000000"/>
                <w:kern w:val="0"/>
                <w:sz w:val="21"/>
                <w:szCs w:val="21"/>
              </w:rPr>
            </w:pPr>
          </w:p>
        </w:tc>
        <w:tc>
          <w:tcPr>
            <w:tcW w:w="1183" w:type="dxa"/>
            <w:tcBorders>
              <w:top w:val="nil"/>
              <w:left w:val="nil"/>
              <w:bottom w:val="single" w:color="auto" w:sz="4" w:space="0"/>
              <w:right w:val="single" w:color="auto" w:sz="4" w:space="0"/>
            </w:tcBorders>
          </w:tcPr>
          <w:p>
            <w:pPr>
              <w:widowControl/>
              <w:ind w:firstLine="210" w:firstLineChars="100"/>
              <w:jc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0</w:t>
            </w:r>
          </w:p>
        </w:tc>
      </w:tr>
    </w:tbl>
    <w:p>
      <w:pPr>
        <w:rPr>
          <w:rFonts w:hint="default" w:ascii="Times New Roman" w:hAnsi="Times New Roman" w:cs="Times New Roman"/>
        </w:rPr>
        <w:sectPr>
          <w:pgSz w:w="16838" w:h="11906" w:orient="landscape"/>
          <w:pgMar w:top="1797" w:right="1440" w:bottom="1797" w:left="1440" w:header="851" w:footer="992" w:gutter="0"/>
          <w:pgNumType w:fmt="numberInDash"/>
          <w:cols w:space="720" w:num="1"/>
          <w:docGrid w:type="lines" w:linePitch="312" w:charSpace="0"/>
        </w:sectPr>
      </w:pPr>
      <w:r>
        <w:rPr>
          <w:rFonts w:hint="default" w:ascii="Times New Roman" w:hAnsi="Times New Roman" w:cs="Times New Roman"/>
        </w:rPr>
        <w:t>注：本表反映</w:t>
      </w:r>
      <w:r>
        <w:rPr>
          <w:rFonts w:hint="eastAsia" w:cs="Times New Roman"/>
          <w:lang w:eastAsia="zh-CN"/>
        </w:rPr>
        <w:t>单位</w:t>
      </w:r>
      <w:r>
        <w:rPr>
          <w:rFonts w:hint="default" w:ascii="Times New Roman" w:hAnsi="Times New Roman" w:cs="Times New Roman"/>
        </w:rPr>
        <w:t>本年度“三公”经费支出预决算情况。其中，2020年度预算数为“三公”经费年初预算数，决算数是包括当年一般公共预算财政拨款和以前年度结转资金安排的实际支出。</w:t>
      </w:r>
    </w:p>
    <w:p>
      <w:pPr>
        <w:rPr>
          <w:rFonts w:hint="default" w:ascii="Times New Roman" w:hAnsi="Times New Roman" w:cs="Times New Roman"/>
        </w:rPr>
      </w:pPr>
    </w:p>
    <w:p>
      <w:pPr>
        <w:rPr>
          <w:rFonts w:hint="default" w:ascii="Times New Roman" w:hAnsi="Times New Roman" w:cs="Times New Roman"/>
        </w:rPr>
      </w:pPr>
    </w:p>
    <w:tbl>
      <w:tblPr>
        <w:tblStyle w:val="6"/>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hint="default" w:ascii="Times New Roman" w:hAnsi="Times New Roman" w:eastAsia="方正小标宋简体" w:cs="Times New Roman"/>
                <w:kern w:val="0"/>
                <w:sz w:val="36"/>
                <w:szCs w:val="36"/>
              </w:rPr>
            </w:pPr>
            <w:r>
              <w:rPr>
                <w:rFonts w:hint="default" w:ascii="Times New Roman" w:hAnsi="Times New Roman" w:eastAsia="方正小标宋简体" w:cs="Times New Roman"/>
                <w:kern w:val="0"/>
                <w:sz w:val="36"/>
                <w:szCs w:val="36"/>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hint="default" w:ascii="Times New Roman" w:hAnsi="Times New Roman" w:cs="Times New Roman"/>
                <w:kern w:val="0"/>
                <w:sz w:val="24"/>
              </w:rPr>
            </w:pPr>
          </w:p>
        </w:tc>
        <w:tc>
          <w:tcPr>
            <w:tcW w:w="1385" w:type="dxa"/>
            <w:tcBorders>
              <w:top w:val="nil"/>
              <w:left w:val="nil"/>
              <w:bottom w:val="nil"/>
              <w:right w:val="nil"/>
            </w:tcBorders>
            <w:vAlign w:val="bottom"/>
          </w:tcPr>
          <w:p>
            <w:pPr>
              <w:widowControl/>
              <w:jc w:val="left"/>
              <w:rPr>
                <w:rFonts w:hint="default" w:ascii="Times New Roman" w:hAnsi="Times New Roman" w:cs="Times New Roman"/>
                <w:kern w:val="0"/>
                <w:sz w:val="24"/>
              </w:rPr>
            </w:pPr>
          </w:p>
        </w:tc>
        <w:tc>
          <w:tcPr>
            <w:tcW w:w="765" w:type="dxa"/>
            <w:tcBorders>
              <w:top w:val="nil"/>
              <w:left w:val="nil"/>
              <w:bottom w:val="nil"/>
              <w:right w:val="nil"/>
            </w:tcBorders>
            <w:vAlign w:val="bottom"/>
          </w:tcPr>
          <w:p>
            <w:pPr>
              <w:widowControl/>
              <w:jc w:val="left"/>
              <w:rPr>
                <w:rFonts w:hint="default" w:ascii="Times New Roman" w:hAnsi="Times New Roman" w:cs="Times New Roman"/>
                <w:kern w:val="0"/>
                <w:sz w:val="24"/>
              </w:rPr>
            </w:pPr>
          </w:p>
        </w:tc>
        <w:tc>
          <w:tcPr>
            <w:tcW w:w="1040" w:type="dxa"/>
            <w:tcBorders>
              <w:top w:val="nil"/>
              <w:left w:val="nil"/>
              <w:bottom w:val="nil"/>
              <w:right w:val="nil"/>
            </w:tcBorders>
            <w:vAlign w:val="bottom"/>
          </w:tcPr>
          <w:p>
            <w:pPr>
              <w:widowControl/>
              <w:jc w:val="left"/>
              <w:rPr>
                <w:rFonts w:hint="default" w:ascii="Times New Roman" w:hAnsi="Times New Roman" w:cs="Times New Roman"/>
                <w:kern w:val="0"/>
                <w:sz w:val="24"/>
              </w:rPr>
            </w:pPr>
          </w:p>
        </w:tc>
        <w:tc>
          <w:tcPr>
            <w:tcW w:w="1040" w:type="dxa"/>
            <w:tcBorders>
              <w:top w:val="nil"/>
              <w:left w:val="nil"/>
              <w:bottom w:val="nil"/>
              <w:right w:val="nil"/>
            </w:tcBorders>
            <w:vAlign w:val="bottom"/>
          </w:tcPr>
          <w:p>
            <w:pPr>
              <w:widowControl/>
              <w:jc w:val="left"/>
              <w:rPr>
                <w:rFonts w:hint="default" w:ascii="Times New Roman" w:hAnsi="Times New Roman" w:cs="Times New Roman"/>
                <w:kern w:val="0"/>
                <w:sz w:val="24"/>
              </w:rPr>
            </w:pPr>
          </w:p>
        </w:tc>
        <w:tc>
          <w:tcPr>
            <w:tcW w:w="1040" w:type="dxa"/>
            <w:tcBorders>
              <w:top w:val="nil"/>
              <w:left w:val="nil"/>
              <w:bottom w:val="nil"/>
              <w:right w:val="nil"/>
            </w:tcBorders>
            <w:vAlign w:val="bottom"/>
          </w:tcPr>
          <w:p>
            <w:pPr>
              <w:widowControl/>
              <w:jc w:val="left"/>
              <w:rPr>
                <w:rFonts w:hint="default" w:ascii="Times New Roman" w:hAnsi="Times New Roman" w:cs="Times New Roman"/>
                <w:kern w:val="0"/>
                <w:sz w:val="24"/>
              </w:rPr>
            </w:pPr>
          </w:p>
        </w:tc>
        <w:tc>
          <w:tcPr>
            <w:tcW w:w="1040" w:type="dxa"/>
            <w:tcBorders>
              <w:top w:val="nil"/>
              <w:left w:val="nil"/>
              <w:bottom w:val="nil"/>
              <w:right w:val="nil"/>
            </w:tcBorders>
            <w:vAlign w:val="bottom"/>
          </w:tcPr>
          <w:p>
            <w:pPr>
              <w:widowControl/>
              <w:jc w:val="left"/>
              <w:rPr>
                <w:rFonts w:hint="default" w:ascii="Times New Roman" w:hAnsi="Times New Roman" w:cs="Times New Roman"/>
                <w:kern w:val="0"/>
                <w:sz w:val="24"/>
              </w:rPr>
            </w:pPr>
          </w:p>
        </w:tc>
        <w:tc>
          <w:tcPr>
            <w:tcW w:w="1040" w:type="dxa"/>
            <w:tcBorders>
              <w:top w:val="nil"/>
              <w:left w:val="nil"/>
              <w:bottom w:val="nil"/>
              <w:right w:val="nil"/>
            </w:tcBorders>
            <w:vAlign w:val="bottom"/>
          </w:tcPr>
          <w:p>
            <w:pPr>
              <w:widowControl/>
              <w:jc w:val="left"/>
              <w:rPr>
                <w:rFonts w:hint="default" w:ascii="Times New Roman" w:hAnsi="Times New Roman" w:cs="Times New Roman"/>
                <w:kern w:val="0"/>
                <w:sz w:val="24"/>
              </w:rPr>
            </w:pPr>
          </w:p>
        </w:tc>
        <w:tc>
          <w:tcPr>
            <w:tcW w:w="1040" w:type="dxa"/>
            <w:tcBorders>
              <w:top w:val="nil"/>
              <w:left w:val="nil"/>
              <w:bottom w:val="nil"/>
              <w:right w:val="nil"/>
            </w:tcBorders>
            <w:vAlign w:val="bottom"/>
          </w:tcPr>
          <w:p>
            <w:pPr>
              <w:widowControl/>
              <w:jc w:val="left"/>
              <w:rPr>
                <w:rFonts w:hint="default" w:ascii="Times New Roman" w:hAnsi="Times New Roman" w:cs="Times New Roman"/>
                <w:kern w:val="0"/>
                <w:sz w:val="24"/>
              </w:rPr>
            </w:pPr>
          </w:p>
        </w:tc>
        <w:tc>
          <w:tcPr>
            <w:tcW w:w="1040" w:type="dxa"/>
            <w:tcBorders>
              <w:top w:val="nil"/>
              <w:left w:val="nil"/>
              <w:bottom w:val="nil"/>
              <w:right w:val="nil"/>
            </w:tcBorders>
            <w:vAlign w:val="bottom"/>
          </w:tcPr>
          <w:p>
            <w:pPr>
              <w:widowControl/>
              <w:jc w:val="left"/>
              <w:rPr>
                <w:rFonts w:hint="default" w:ascii="Times New Roman" w:hAnsi="Times New Roman" w:cs="Times New Roman"/>
                <w:kern w:val="0"/>
                <w:sz w:val="24"/>
              </w:rPr>
            </w:pPr>
          </w:p>
        </w:tc>
        <w:tc>
          <w:tcPr>
            <w:tcW w:w="2010" w:type="dxa"/>
            <w:gridSpan w:val="2"/>
            <w:tcBorders>
              <w:top w:val="nil"/>
              <w:left w:val="nil"/>
              <w:bottom w:val="nil"/>
              <w:right w:val="nil"/>
            </w:tcBorders>
            <w:vAlign w:val="bottom"/>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hint="default" w:ascii="Times New Roman" w:hAnsi="Times New Roman" w:cs="Times New Roman"/>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hint="default" w:ascii="Times New Roman" w:hAnsi="Times New Roman" w:cs="Times New Roman"/>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项目支出结转和结余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hint="default" w:ascii="Times New Roman" w:hAnsi="Times New Roman" w:cs="Times New Roman"/>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2"/>
                <w:szCs w:val="22"/>
              </w:rPr>
            </w:pPr>
          </w:p>
        </w:tc>
        <w:tc>
          <w:tcPr>
            <w:tcW w:w="765" w:type="dxa"/>
            <w:vMerge w:val="continue"/>
            <w:tcBorders>
              <w:top w:val="nil"/>
              <w:left w:val="single" w:color="auto" w:sz="4" w:space="0"/>
              <w:bottom w:val="nil"/>
              <w:right w:val="single" w:color="auto" w:sz="4" w:space="0"/>
            </w:tcBorders>
            <w:vAlign w:val="center"/>
          </w:tcPr>
          <w:p>
            <w:pPr>
              <w:widowControl/>
              <w:jc w:val="left"/>
              <w:rPr>
                <w:rFonts w:hint="default" w:ascii="Times New Roman" w:hAnsi="Times New Roman" w:cs="Times New Roman"/>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hint="default" w:ascii="Times New Roman" w:hAnsi="Times New Roman" w:cs="Times New Roman"/>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hint="default" w:ascii="Times New Roman" w:hAnsi="Times New Roman" w:cs="Times New Roman"/>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hint="default" w:ascii="Times New Roman" w:hAnsi="Times New Roman" w:cs="Times New Roman"/>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　合  计</w:t>
            </w:r>
          </w:p>
        </w:tc>
        <w:tc>
          <w:tcPr>
            <w:tcW w:w="765" w:type="dxa"/>
            <w:tcBorders>
              <w:top w:val="single" w:color="auto" w:sz="4" w:space="0"/>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　类</w:t>
            </w:r>
          </w:p>
        </w:tc>
        <w:tc>
          <w:tcPr>
            <w:tcW w:w="138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　款</w:t>
            </w:r>
          </w:p>
        </w:tc>
        <w:tc>
          <w:tcPr>
            <w:tcW w:w="138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项</w:t>
            </w:r>
          </w:p>
        </w:tc>
        <w:tc>
          <w:tcPr>
            <w:tcW w:w="138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r>
    </w:tbl>
    <w:p>
      <w:pPr>
        <w:spacing w:line="560" w:lineRule="exact"/>
        <w:ind w:firstLine="420"/>
        <w:rPr>
          <w:rFonts w:hint="default" w:ascii="Times New Roman" w:hAnsi="Times New Roman" w:cs="Times New Roman"/>
        </w:rPr>
      </w:pPr>
      <w:r>
        <w:rPr>
          <w:rFonts w:hint="default" w:ascii="Times New Roman" w:hAnsi="Times New Roman" w:cs="Times New Roman"/>
        </w:rPr>
        <w:t>注：本表反映</w:t>
      </w:r>
      <w:r>
        <w:rPr>
          <w:rFonts w:hint="eastAsia" w:cs="Times New Roman"/>
          <w:lang w:eastAsia="zh-CN"/>
        </w:rPr>
        <w:t>单位</w:t>
      </w:r>
      <w:r>
        <w:rPr>
          <w:rFonts w:hint="default" w:ascii="Times New Roman" w:hAnsi="Times New Roman" w:cs="Times New Roman"/>
        </w:rPr>
        <w:t>本年度政府性基金预算财政拨款收入支出及结转和结余情况。</w:t>
      </w:r>
    </w:p>
    <w:p>
      <w:pPr>
        <w:spacing w:line="560" w:lineRule="exact"/>
        <w:ind w:firstLine="840" w:firstLineChars="400"/>
        <w:rPr>
          <w:rFonts w:hint="default" w:ascii="Times New Roman" w:hAnsi="Times New Roman" w:eastAsia="宋体" w:cs="Times New Roman"/>
          <w:lang w:eastAsia="zh-CN"/>
        </w:rPr>
      </w:pPr>
      <w:r>
        <w:rPr>
          <w:rFonts w:hint="default" w:ascii="Times New Roman" w:hAnsi="Times New Roman" w:cs="Times New Roman"/>
          <w:lang w:eastAsia="zh-CN"/>
        </w:rPr>
        <w:t>柳州市信访信息中心</w:t>
      </w:r>
      <w:r>
        <w:rPr>
          <w:rFonts w:hint="default" w:ascii="Times New Roman" w:hAnsi="Times New Roman" w:cs="Times New Roman"/>
        </w:rPr>
        <w:t>没有</w:t>
      </w:r>
      <w:r>
        <w:rPr>
          <w:rFonts w:hint="default" w:ascii="Times New Roman" w:hAnsi="Times New Roman" w:cs="Times New Roman"/>
          <w:lang w:eastAsia="zh-CN"/>
        </w:rPr>
        <w:t>政府性基金</w:t>
      </w:r>
      <w:r>
        <w:rPr>
          <w:rFonts w:hint="default" w:ascii="Times New Roman" w:hAnsi="Times New Roman" w:cs="Times New Roman"/>
        </w:rPr>
        <w:t>收入，也没有政府性基金预算财政拨款安排的支出，故本表无数据</w:t>
      </w:r>
      <w:r>
        <w:rPr>
          <w:rFonts w:hint="default" w:ascii="Times New Roman" w:hAnsi="Times New Roman" w:cs="Times New Roman"/>
          <w:lang w:eastAsia="zh-CN"/>
        </w:rPr>
        <w:t>。</w:t>
      </w:r>
    </w:p>
    <w:p>
      <w:pPr>
        <w:spacing w:line="560" w:lineRule="exact"/>
        <w:ind w:firstLine="420"/>
        <w:rPr>
          <w:rFonts w:hint="default" w:ascii="Times New Roman" w:hAnsi="Times New Roman" w:cs="Times New Roman"/>
        </w:rPr>
      </w:pPr>
    </w:p>
    <w:p>
      <w:pPr>
        <w:spacing w:line="560" w:lineRule="exact"/>
        <w:ind w:firstLine="420"/>
        <w:rPr>
          <w:rFonts w:hint="default" w:ascii="Times New Roman" w:hAnsi="Times New Roman" w:cs="Times New Roman"/>
        </w:rPr>
      </w:pPr>
    </w:p>
    <w:tbl>
      <w:tblPr>
        <w:tblStyle w:val="6"/>
        <w:tblW w:w="13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18"/>
        <w:gridCol w:w="1292"/>
        <w:gridCol w:w="2249"/>
        <w:gridCol w:w="3242"/>
        <w:gridCol w:w="1344"/>
        <w:gridCol w:w="4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8" w:hRule="atLeast"/>
        </w:trPr>
        <w:tc>
          <w:tcPr>
            <w:tcW w:w="13520" w:type="dxa"/>
            <w:gridSpan w:val="6"/>
            <w:shd w:val="clear" w:color="auto" w:fill="FFFFFF"/>
            <w:vAlign w:val="center"/>
          </w:tcPr>
          <w:p>
            <w:pPr>
              <w:keepNext w:val="0"/>
              <w:keepLines w:val="0"/>
              <w:widowControl/>
              <w:suppressLineNumbers w:val="0"/>
              <w:jc w:val="center"/>
              <w:textAlignment w:val="center"/>
              <w:rPr>
                <w:rFonts w:hint="default" w:ascii="Times New Roman" w:hAnsi="Times New Roman" w:eastAsia="华文中宋" w:cs="Times New Roman"/>
                <w:i w:val="0"/>
                <w:color w:val="000000"/>
                <w:sz w:val="32"/>
                <w:szCs w:val="32"/>
                <w:highlight w:val="none"/>
                <w:u w:val="none"/>
              </w:rPr>
            </w:pPr>
            <w:r>
              <w:rPr>
                <w:rFonts w:hint="default" w:ascii="Times New Roman" w:hAnsi="Times New Roman" w:eastAsia="华文中宋" w:cs="Times New Roman"/>
                <w:i w:val="0"/>
                <w:color w:val="000000"/>
                <w:kern w:val="0"/>
                <w:sz w:val="32"/>
                <w:szCs w:val="32"/>
                <w:highlight w:val="none"/>
                <w:u w:val="none"/>
                <w:lang w:val="en-US" w:eastAsia="zh-CN" w:bidi="ar"/>
              </w:rPr>
              <w:t>表九：国有资本经营预算财政拨款支出决算表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0" w:hRule="atLeast"/>
        </w:trPr>
        <w:tc>
          <w:tcPr>
            <w:tcW w:w="1318" w:type="dxa"/>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kern w:val="0"/>
                <w:sz w:val="20"/>
                <w:szCs w:val="20"/>
                <w:highlight w:val="none"/>
                <w:u w:val="none"/>
                <w:lang w:val="en-US" w:eastAsia="zh-CN" w:bidi="ar"/>
              </w:rPr>
              <w:t>单位</w:t>
            </w:r>
            <w:r>
              <w:rPr>
                <w:rFonts w:hint="default" w:ascii="Times New Roman" w:hAnsi="Times New Roman" w:eastAsia="宋体" w:cs="Times New Roman"/>
                <w:i w:val="0"/>
                <w:color w:val="000000"/>
                <w:kern w:val="0"/>
                <w:sz w:val="20"/>
                <w:szCs w:val="20"/>
                <w:highlight w:val="none"/>
                <w:u w:val="none"/>
                <w:lang w:val="en-US" w:eastAsia="zh-CN" w:bidi="ar"/>
              </w:rPr>
              <w:t>：</w:t>
            </w:r>
          </w:p>
        </w:tc>
        <w:tc>
          <w:tcPr>
            <w:tcW w:w="1292" w:type="dxa"/>
            <w:shd w:val="clear" w:color="auto" w:fill="FFFFFF"/>
            <w:vAlign w:val="center"/>
          </w:tcPr>
          <w:p>
            <w:pPr>
              <w:jc w:val="center"/>
              <w:rPr>
                <w:rFonts w:hint="default" w:ascii="Times New Roman" w:hAnsi="Times New Roman" w:eastAsia="宋体" w:cs="Times New Roman"/>
                <w:i w:val="0"/>
                <w:color w:val="000000"/>
                <w:sz w:val="20"/>
                <w:szCs w:val="20"/>
                <w:highlight w:val="none"/>
                <w:u w:val="none"/>
              </w:rPr>
            </w:pPr>
          </w:p>
        </w:tc>
        <w:tc>
          <w:tcPr>
            <w:tcW w:w="2249" w:type="dxa"/>
            <w:shd w:val="clear" w:color="auto" w:fill="FFFFFF"/>
            <w:vAlign w:val="center"/>
          </w:tcPr>
          <w:p>
            <w:pPr>
              <w:jc w:val="center"/>
              <w:rPr>
                <w:rFonts w:hint="default" w:ascii="Times New Roman" w:hAnsi="Times New Roman" w:eastAsia="宋体" w:cs="Times New Roman"/>
                <w:i w:val="0"/>
                <w:color w:val="000000"/>
                <w:sz w:val="20"/>
                <w:szCs w:val="20"/>
                <w:highlight w:val="none"/>
                <w:u w:val="none"/>
              </w:rPr>
            </w:pPr>
          </w:p>
        </w:tc>
        <w:tc>
          <w:tcPr>
            <w:tcW w:w="3242" w:type="dxa"/>
            <w:tcBorders>
              <w:bottom w:val="single" w:color="000000" w:sz="12" w:space="0"/>
            </w:tcBorders>
            <w:shd w:val="clear" w:color="auto" w:fill="FFFFFF"/>
            <w:vAlign w:val="center"/>
          </w:tcPr>
          <w:p>
            <w:pPr>
              <w:rPr>
                <w:rFonts w:hint="default" w:ascii="Times New Roman" w:hAnsi="Times New Roman" w:eastAsia="宋体" w:cs="Times New Roman"/>
                <w:i w:val="0"/>
                <w:color w:val="000000"/>
                <w:sz w:val="20"/>
                <w:szCs w:val="20"/>
                <w:highlight w:val="none"/>
                <w:u w:val="none"/>
              </w:rPr>
            </w:pPr>
          </w:p>
        </w:tc>
        <w:tc>
          <w:tcPr>
            <w:tcW w:w="1344" w:type="dxa"/>
            <w:tcBorders>
              <w:bottom w:val="single" w:color="000000" w:sz="12" w:space="0"/>
            </w:tcBorders>
            <w:shd w:val="clear" w:color="auto" w:fill="FFFFFF"/>
            <w:vAlign w:val="center"/>
          </w:tcPr>
          <w:p>
            <w:pPr>
              <w:rPr>
                <w:rFonts w:hint="default" w:ascii="Times New Roman" w:hAnsi="Times New Roman" w:eastAsia="宋体" w:cs="Times New Roman"/>
                <w:i w:val="0"/>
                <w:color w:val="000000"/>
                <w:sz w:val="20"/>
                <w:szCs w:val="20"/>
                <w:highlight w:val="none"/>
                <w:u w:val="none"/>
              </w:rPr>
            </w:pPr>
          </w:p>
        </w:tc>
        <w:tc>
          <w:tcPr>
            <w:tcW w:w="4075" w:type="dxa"/>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0" w:hRule="atLeast"/>
        </w:trPr>
        <w:tc>
          <w:tcPr>
            <w:tcW w:w="4859"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 xml:space="preserve">项 </w:t>
            </w:r>
            <w:r>
              <w:rPr>
                <w:rStyle w:val="10"/>
                <w:rFonts w:hint="default" w:ascii="Times New Roman" w:hAnsi="Times New Roman" w:cs="Times New Roman"/>
                <w:highlight w:val="none"/>
                <w:lang w:val="en-US" w:eastAsia="zh-CN" w:bidi="ar"/>
              </w:rPr>
              <w:t xml:space="preserve">   </w:t>
            </w:r>
            <w:r>
              <w:rPr>
                <w:rStyle w:val="11"/>
                <w:rFonts w:hint="default" w:ascii="Times New Roman" w:hAnsi="Times New Roman" w:cs="Times New Roman"/>
                <w:highlight w:val="none"/>
                <w:lang w:val="en-US" w:eastAsia="zh-CN" w:bidi="ar"/>
              </w:rPr>
              <w:t>目</w:t>
            </w:r>
          </w:p>
        </w:tc>
        <w:tc>
          <w:tcPr>
            <w:tcW w:w="8661"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 xml:space="preserve">基本支出  </w:t>
            </w:r>
          </w:p>
        </w:tc>
        <w:tc>
          <w:tcPr>
            <w:tcW w:w="4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48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2</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4859" w:type="dxa"/>
            <w:gridSpan w:val="3"/>
            <w:tcBorders>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0"/>
                <w:szCs w:val="20"/>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8" w:hRule="atLeast"/>
        </w:trPr>
        <w:tc>
          <w:tcPr>
            <w:tcW w:w="13520" w:type="dxa"/>
            <w:gridSpan w:val="6"/>
            <w:tcBorders>
              <w:top w:val="single" w:color="000000" w:sz="12"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注：本表反映</w:t>
            </w:r>
            <w:r>
              <w:rPr>
                <w:rFonts w:hint="eastAsia" w:cs="Times New Roman"/>
                <w:i w:val="0"/>
                <w:color w:val="000000"/>
                <w:kern w:val="0"/>
                <w:sz w:val="24"/>
                <w:szCs w:val="24"/>
                <w:highlight w:val="none"/>
                <w:u w:val="none"/>
                <w:lang w:val="en-US" w:eastAsia="zh-CN" w:bidi="ar"/>
              </w:rPr>
              <w:t>单位</w:t>
            </w:r>
            <w:r>
              <w:rPr>
                <w:rFonts w:hint="default" w:ascii="Times New Roman" w:hAnsi="Times New Roman" w:eastAsia="宋体" w:cs="Times New Roman"/>
                <w:i w:val="0"/>
                <w:color w:val="000000"/>
                <w:kern w:val="0"/>
                <w:sz w:val="24"/>
                <w:szCs w:val="24"/>
                <w:highlight w:val="none"/>
                <w:u w:val="none"/>
                <w:lang w:val="en-US" w:eastAsia="zh-CN" w:bidi="ar"/>
              </w:rPr>
              <w:t>本年度国有资本经营预算财政拨款支出情况。</w:t>
            </w:r>
          </w:p>
        </w:tc>
      </w:tr>
    </w:tbl>
    <w:p>
      <w:pPr>
        <w:spacing w:line="560" w:lineRule="exact"/>
        <w:ind w:firstLine="420" w:firstLineChars="200"/>
        <w:rPr>
          <w:rFonts w:hint="default" w:ascii="Times New Roman" w:hAnsi="Times New Roman" w:eastAsia="宋体" w:cs="Times New Roman"/>
          <w:lang w:eastAsia="zh-CN"/>
        </w:rPr>
      </w:pPr>
      <w:r>
        <w:rPr>
          <w:rFonts w:hint="default" w:ascii="Times New Roman" w:hAnsi="Times New Roman" w:cs="Times New Roman"/>
          <w:lang w:eastAsia="zh-CN"/>
        </w:rPr>
        <w:t>柳州市信访信息中心</w:t>
      </w:r>
      <w:r>
        <w:rPr>
          <w:rFonts w:hint="default" w:ascii="Times New Roman" w:hAnsi="Times New Roman" w:cs="Times New Roman"/>
        </w:rPr>
        <w:t>没有国有资本经营收入，也没有国有资本经营安排的支出，故本表无数据</w:t>
      </w:r>
      <w:r>
        <w:rPr>
          <w:rFonts w:hint="default" w:ascii="Times New Roman" w:hAnsi="Times New Roman" w:cs="Times New Roman"/>
          <w:lang w:eastAsia="zh-CN"/>
        </w:rPr>
        <w:t>。</w:t>
      </w:r>
    </w:p>
    <w:p>
      <w:pPr>
        <w:spacing w:line="560" w:lineRule="exact"/>
        <w:ind w:firstLine="420"/>
        <w:rPr>
          <w:rFonts w:hint="default" w:ascii="Times New Roman" w:hAnsi="Times New Roman" w:cs="Times New Roman"/>
          <w:highlight w:val="none"/>
        </w:rPr>
        <w:sectPr>
          <w:pgSz w:w="16838" w:h="11906" w:orient="landscape"/>
          <w:pgMar w:top="1797" w:right="1440" w:bottom="1797" w:left="1440" w:header="851" w:footer="992" w:gutter="0"/>
          <w:pgNumType w:fmt="numberInDash"/>
          <w:cols w:space="720" w:num="1"/>
          <w:docGrid w:type="lines" w:linePitch="312" w:charSpace="0"/>
        </w:sectPr>
      </w:pPr>
    </w:p>
    <w:p>
      <w:pPr>
        <w:spacing w:line="580"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第三部分：</w:t>
      </w:r>
      <w:r>
        <w:rPr>
          <w:rFonts w:hint="default" w:ascii="Times New Roman" w:hAnsi="Times New Roman" w:eastAsia="仿宋_GB2312" w:cs="Times New Roman"/>
          <w:b/>
          <w:bCs/>
          <w:color w:val="000000"/>
          <w:sz w:val="32"/>
          <w:szCs w:val="32"/>
          <w:u w:val="none"/>
          <w:lang w:eastAsia="zh-CN"/>
        </w:rPr>
        <w:t>柳州市信访信息中心</w:t>
      </w:r>
      <w:r>
        <w:rPr>
          <w:rFonts w:hint="default" w:ascii="Times New Roman" w:hAnsi="Times New Roman" w:eastAsia="仿宋_GB2312" w:cs="Times New Roman"/>
          <w:b/>
          <w:sz w:val="32"/>
          <w:szCs w:val="32"/>
        </w:rPr>
        <w:t>2020年度部门决算</w:t>
      </w:r>
    </w:p>
    <w:p>
      <w:pPr>
        <w:spacing w:line="580"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情况说明</w:t>
      </w:r>
    </w:p>
    <w:p>
      <w:pPr>
        <w:autoSpaceDE w:val="0"/>
        <w:autoSpaceDN w:val="0"/>
        <w:adjustRightInd w:val="0"/>
        <w:spacing w:line="580" w:lineRule="exact"/>
        <w:ind w:firstLine="643" w:firstLineChars="200"/>
        <w:jc w:val="left"/>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一、2020年度收入支出决算总体情况</w:t>
      </w:r>
    </w:p>
    <w:p>
      <w:pPr>
        <w:autoSpaceDE w:val="0"/>
        <w:autoSpaceDN w:val="0"/>
        <w:adjustRightInd w:val="0"/>
        <w:spacing w:line="580" w:lineRule="exact"/>
        <w:ind w:firstLine="643" w:firstLineChars="200"/>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
          <w:kern w:val="0"/>
          <w:sz w:val="32"/>
          <w:szCs w:val="32"/>
        </w:rPr>
        <w:t xml:space="preserve"> </w:t>
      </w:r>
      <w:r>
        <w:rPr>
          <w:rFonts w:hint="default" w:ascii="Times New Roman" w:hAnsi="Times New Roman" w:eastAsia="仿宋_GB2312" w:cs="Times New Roman"/>
          <w:bCs/>
          <w:kern w:val="0"/>
          <w:sz w:val="32"/>
          <w:szCs w:val="32"/>
        </w:rPr>
        <w:t>2020年度收入总计</w:t>
      </w:r>
      <w:r>
        <w:rPr>
          <w:rFonts w:hint="default" w:ascii="Times New Roman" w:hAnsi="Times New Roman" w:eastAsia="仿宋_GB2312" w:cs="Times New Roman"/>
          <w:bCs/>
          <w:kern w:val="0"/>
          <w:sz w:val="32"/>
          <w:szCs w:val="32"/>
          <w:lang w:val="en-US" w:eastAsia="zh-CN"/>
        </w:rPr>
        <w:t>60.92</w:t>
      </w:r>
      <w:r>
        <w:rPr>
          <w:rFonts w:hint="default" w:ascii="Times New Roman" w:hAnsi="Times New Roman" w:eastAsia="仿宋_GB2312" w:cs="Times New Roman"/>
          <w:bCs/>
          <w:kern w:val="0"/>
          <w:sz w:val="32"/>
          <w:szCs w:val="32"/>
        </w:rPr>
        <w:t>万元，支出总计</w:t>
      </w:r>
      <w:r>
        <w:rPr>
          <w:rFonts w:hint="default" w:ascii="Times New Roman" w:hAnsi="Times New Roman" w:eastAsia="仿宋_GB2312" w:cs="Times New Roman"/>
          <w:bCs/>
          <w:kern w:val="0"/>
          <w:sz w:val="32"/>
          <w:szCs w:val="32"/>
          <w:lang w:val="en-US" w:eastAsia="zh-CN"/>
        </w:rPr>
        <w:t>60.92</w:t>
      </w:r>
      <w:r>
        <w:rPr>
          <w:rFonts w:hint="default" w:ascii="Times New Roman" w:hAnsi="Times New Roman" w:eastAsia="仿宋_GB2312" w:cs="Times New Roman"/>
          <w:bCs/>
          <w:kern w:val="0"/>
          <w:sz w:val="32"/>
          <w:szCs w:val="32"/>
        </w:rPr>
        <w:t>万元，与2019年相比，收、支</w:t>
      </w:r>
      <w:r>
        <w:rPr>
          <w:rFonts w:hint="default" w:ascii="Times New Roman" w:hAnsi="Times New Roman" w:eastAsia="仿宋_GB2312" w:cs="Times New Roman"/>
          <w:bCs/>
          <w:kern w:val="0"/>
          <w:sz w:val="32"/>
          <w:szCs w:val="32"/>
          <w:lang w:eastAsia="zh-CN"/>
        </w:rPr>
        <w:t>均</w:t>
      </w:r>
      <w:r>
        <w:rPr>
          <w:rFonts w:hint="default" w:ascii="Times New Roman" w:hAnsi="Times New Roman" w:eastAsia="仿宋_GB2312" w:cs="Times New Roman"/>
          <w:bCs/>
          <w:kern w:val="0"/>
          <w:sz w:val="32"/>
          <w:szCs w:val="32"/>
        </w:rPr>
        <w:t>增加</w:t>
      </w:r>
      <w:r>
        <w:rPr>
          <w:rFonts w:hint="default" w:ascii="Times New Roman" w:hAnsi="Times New Roman" w:eastAsia="仿宋_GB2312" w:cs="Times New Roman"/>
          <w:bCs/>
          <w:kern w:val="0"/>
          <w:sz w:val="32"/>
          <w:szCs w:val="32"/>
          <w:lang w:val="en-US" w:eastAsia="zh-CN"/>
        </w:rPr>
        <w:t>48.4万元</w:t>
      </w:r>
      <w:r>
        <w:rPr>
          <w:rFonts w:hint="default" w:ascii="Times New Roman" w:hAnsi="Times New Roman" w:eastAsia="仿宋_GB2312" w:cs="Times New Roman"/>
          <w:bCs/>
          <w:kern w:val="0"/>
          <w:sz w:val="32"/>
          <w:szCs w:val="32"/>
        </w:rPr>
        <w:t>；</w:t>
      </w:r>
      <w:r>
        <w:rPr>
          <w:rFonts w:hint="default" w:ascii="Times New Roman" w:hAnsi="Times New Roman" w:eastAsia="仿宋_GB2312" w:cs="Times New Roman"/>
          <w:bCs/>
          <w:kern w:val="0"/>
          <w:sz w:val="32"/>
          <w:szCs w:val="32"/>
          <w:lang w:eastAsia="zh-CN"/>
        </w:rPr>
        <w:t>均</w:t>
      </w:r>
      <w:r>
        <w:rPr>
          <w:rFonts w:hint="default" w:ascii="Times New Roman" w:hAnsi="Times New Roman" w:eastAsia="仿宋_GB2312" w:cs="Times New Roman"/>
          <w:bCs/>
          <w:kern w:val="0"/>
          <w:sz w:val="32"/>
          <w:szCs w:val="32"/>
        </w:rPr>
        <w:t>增长</w:t>
      </w:r>
      <w:r>
        <w:rPr>
          <w:rFonts w:hint="default" w:ascii="Times New Roman" w:hAnsi="Times New Roman" w:eastAsia="仿宋_GB2312" w:cs="Times New Roman"/>
          <w:bCs/>
          <w:kern w:val="0"/>
          <w:sz w:val="32"/>
          <w:szCs w:val="32"/>
          <w:lang w:val="en-US" w:eastAsia="zh-CN"/>
        </w:rPr>
        <w:t>386.58</w:t>
      </w:r>
      <w:r>
        <w:rPr>
          <w:rFonts w:hint="default" w:ascii="Times New Roman" w:hAnsi="Times New Roman" w:eastAsia="仿宋_GB2312" w:cs="Times New Roman"/>
          <w:bCs/>
          <w:kern w:val="0"/>
          <w:sz w:val="32"/>
          <w:szCs w:val="32"/>
        </w:rPr>
        <w:t>%</w:t>
      </w:r>
    </w:p>
    <w:p>
      <w:pPr>
        <w:autoSpaceDE w:val="0"/>
        <w:autoSpaceDN w:val="0"/>
        <w:adjustRightInd w:val="0"/>
        <w:spacing w:line="580" w:lineRule="exact"/>
        <w:ind w:firstLine="643" w:firstLineChars="200"/>
        <w:jc w:val="left"/>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二、2020年度收入决算情况</w:t>
      </w:r>
    </w:p>
    <w:p>
      <w:pPr>
        <w:autoSpaceDE w:val="0"/>
        <w:autoSpaceDN w:val="0"/>
        <w:adjustRightInd w:val="0"/>
        <w:spacing w:line="580" w:lineRule="exact"/>
        <w:ind w:firstLine="640" w:firstLineChars="200"/>
        <w:jc w:val="left"/>
        <w:rPr>
          <w:rFonts w:hint="default" w:ascii="Times New Roman" w:hAnsi="Times New Roman" w:eastAsia="仿宋_GB2312" w:cs="Times New Roman"/>
          <w:b/>
          <w:kern w:val="0"/>
          <w:sz w:val="32"/>
          <w:szCs w:val="32"/>
        </w:rPr>
      </w:pPr>
      <w:r>
        <w:rPr>
          <w:rFonts w:hint="default" w:ascii="Times New Roman" w:hAnsi="Times New Roman" w:eastAsia="仿宋_GB2312" w:cs="Times New Roman"/>
          <w:bCs/>
          <w:kern w:val="0"/>
          <w:sz w:val="32"/>
          <w:szCs w:val="32"/>
        </w:rPr>
        <w:t>本年收入总计</w:t>
      </w:r>
      <w:r>
        <w:rPr>
          <w:rFonts w:hint="default" w:ascii="Times New Roman" w:hAnsi="Times New Roman" w:eastAsia="仿宋_GB2312" w:cs="Times New Roman"/>
          <w:bCs/>
          <w:kern w:val="0"/>
          <w:sz w:val="32"/>
          <w:szCs w:val="32"/>
          <w:lang w:val="en-US" w:eastAsia="zh-CN"/>
        </w:rPr>
        <w:t>59.85</w:t>
      </w:r>
      <w:r>
        <w:rPr>
          <w:rFonts w:hint="default" w:ascii="Times New Roman" w:hAnsi="Times New Roman" w:eastAsia="仿宋_GB2312" w:cs="Times New Roman"/>
          <w:bCs/>
          <w:kern w:val="0"/>
          <w:sz w:val="32"/>
          <w:szCs w:val="32"/>
        </w:rPr>
        <w:t>万元 ，其中：一般公共预算财政拨款收入</w:t>
      </w:r>
      <w:r>
        <w:rPr>
          <w:rFonts w:hint="default" w:ascii="Times New Roman" w:hAnsi="Times New Roman" w:eastAsia="仿宋_GB2312" w:cs="Times New Roman"/>
          <w:bCs/>
          <w:kern w:val="0"/>
          <w:sz w:val="32"/>
          <w:szCs w:val="32"/>
          <w:lang w:val="en-US" w:eastAsia="zh-CN"/>
        </w:rPr>
        <w:t>59.85</w:t>
      </w:r>
      <w:r>
        <w:rPr>
          <w:rFonts w:hint="default" w:ascii="Times New Roman" w:hAnsi="Times New Roman" w:eastAsia="仿宋_GB2312" w:cs="Times New Roman"/>
          <w:bCs/>
          <w:kern w:val="0"/>
          <w:sz w:val="32"/>
          <w:szCs w:val="32"/>
        </w:rPr>
        <w:t>万元；占比</w:t>
      </w:r>
      <w:r>
        <w:rPr>
          <w:rFonts w:hint="default" w:ascii="Times New Roman" w:hAnsi="Times New Roman" w:eastAsia="仿宋_GB2312" w:cs="Times New Roman"/>
          <w:bCs/>
          <w:kern w:val="0"/>
          <w:sz w:val="32"/>
          <w:szCs w:val="32"/>
          <w:lang w:val="en-US" w:eastAsia="zh-CN"/>
        </w:rPr>
        <w:t>100%</w:t>
      </w:r>
      <w:r>
        <w:rPr>
          <w:rFonts w:hint="default" w:ascii="Times New Roman" w:hAnsi="Times New Roman" w:eastAsia="仿宋_GB2312" w:cs="Times New Roman"/>
          <w:bCs/>
          <w:kern w:val="0"/>
          <w:sz w:val="32"/>
          <w:szCs w:val="32"/>
        </w:rPr>
        <w:t> ；政府基金预算财政拨款收入</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万元；占比</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；上级补助收入</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万元，占比</w:t>
      </w:r>
      <w:r>
        <w:rPr>
          <w:rFonts w:hint="default" w:ascii="Times New Roman" w:hAnsi="Times New Roman" w:eastAsia="仿宋_GB2312" w:cs="Times New Roman"/>
          <w:bCs/>
          <w:kern w:val="0"/>
          <w:sz w:val="32"/>
          <w:szCs w:val="32"/>
          <w:lang w:val="en-US" w:eastAsia="zh-CN"/>
        </w:rPr>
        <w:t>0%</w:t>
      </w:r>
      <w:r>
        <w:rPr>
          <w:rFonts w:hint="eastAsia"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事业收入</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万元，占比</w:t>
      </w:r>
      <w:r>
        <w:rPr>
          <w:rFonts w:hint="default" w:ascii="Times New Roman" w:hAnsi="Times New Roman" w:eastAsia="仿宋_GB2312" w:cs="Times New Roman"/>
          <w:bCs/>
          <w:kern w:val="0"/>
          <w:sz w:val="32"/>
          <w:szCs w:val="32"/>
          <w:lang w:val="en-US" w:eastAsia="zh-CN"/>
        </w:rPr>
        <w:t>0%</w:t>
      </w:r>
      <w:r>
        <w:rPr>
          <w:rFonts w:hint="eastAsia" w:eastAsia="仿宋_GB2312" w:cs="Times New Roman"/>
          <w:bCs/>
          <w:kern w:val="0"/>
          <w:sz w:val="32"/>
          <w:szCs w:val="32"/>
          <w:lang w:val="en-US" w:eastAsia="zh-CN"/>
        </w:rPr>
        <w:t>；</w:t>
      </w:r>
      <w:r>
        <w:rPr>
          <w:rFonts w:hint="default" w:ascii="Times New Roman" w:hAnsi="Times New Roman" w:eastAsia="仿宋_GB2312" w:cs="Times New Roman"/>
          <w:bCs/>
          <w:kern w:val="0"/>
          <w:sz w:val="32"/>
          <w:szCs w:val="32"/>
        </w:rPr>
        <w:t>事业单位经营收入</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万元，占比</w:t>
      </w:r>
      <w:r>
        <w:rPr>
          <w:rFonts w:hint="default" w:ascii="Times New Roman" w:hAnsi="Times New Roman" w:eastAsia="仿宋_GB2312" w:cs="Times New Roman"/>
          <w:bCs/>
          <w:kern w:val="0"/>
          <w:sz w:val="32"/>
          <w:szCs w:val="32"/>
          <w:lang w:val="en-US" w:eastAsia="zh-CN"/>
        </w:rPr>
        <w:t>0%</w:t>
      </w:r>
      <w:r>
        <w:rPr>
          <w:rFonts w:hint="eastAsia"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其他收入</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w:t>
      </w:r>
      <w:r>
        <w:rPr>
          <w:rFonts w:hint="eastAsia"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占比</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w:t>
      </w:r>
    </w:p>
    <w:p>
      <w:pPr>
        <w:autoSpaceDE w:val="0"/>
        <w:autoSpaceDN w:val="0"/>
        <w:adjustRightInd w:val="0"/>
        <w:spacing w:line="580" w:lineRule="exact"/>
        <w:ind w:firstLine="643" w:firstLineChars="200"/>
        <w:jc w:val="left"/>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三、2020年度支出决算情况</w:t>
      </w:r>
    </w:p>
    <w:p>
      <w:pPr>
        <w:autoSpaceDE w:val="0"/>
        <w:autoSpaceDN w:val="0"/>
        <w:adjustRightInd w:val="0"/>
        <w:spacing w:line="580" w:lineRule="exact"/>
        <w:ind w:firstLine="640" w:firstLineChars="200"/>
        <w:jc w:val="left"/>
        <w:rPr>
          <w:rFonts w:hint="default" w:ascii="Times New Roman" w:hAnsi="Times New Roman" w:eastAsia="仿宋_GB2312" w:cs="Times New Roman"/>
          <w:bCs/>
          <w:kern w:val="0"/>
          <w:sz w:val="32"/>
          <w:szCs w:val="32"/>
          <w:lang w:val="en-US" w:eastAsia="zh-CN"/>
        </w:rPr>
      </w:pPr>
      <w:r>
        <w:rPr>
          <w:rFonts w:hint="default" w:ascii="Times New Roman" w:hAnsi="Times New Roman" w:eastAsia="仿宋_GB2312" w:cs="Times New Roman"/>
          <w:bCs/>
          <w:kern w:val="0"/>
          <w:sz w:val="32"/>
          <w:szCs w:val="32"/>
        </w:rPr>
        <w:t>本年支出合计</w:t>
      </w:r>
      <w:r>
        <w:rPr>
          <w:rFonts w:hint="default" w:ascii="Times New Roman" w:hAnsi="Times New Roman" w:eastAsia="仿宋_GB2312" w:cs="Times New Roman"/>
          <w:bCs/>
          <w:kern w:val="0"/>
          <w:sz w:val="32"/>
          <w:szCs w:val="32"/>
          <w:lang w:val="en-US" w:eastAsia="zh-CN"/>
        </w:rPr>
        <w:t>58.54</w:t>
      </w:r>
      <w:r>
        <w:rPr>
          <w:rFonts w:hint="default" w:ascii="Times New Roman" w:hAnsi="Times New Roman" w:eastAsia="仿宋_GB2312" w:cs="Times New Roman"/>
          <w:bCs/>
          <w:kern w:val="0"/>
          <w:sz w:val="32"/>
          <w:szCs w:val="32"/>
        </w:rPr>
        <w:t>万元，其中：基本支出</w:t>
      </w:r>
      <w:r>
        <w:rPr>
          <w:rFonts w:hint="default" w:ascii="Times New Roman" w:hAnsi="Times New Roman" w:eastAsia="仿宋_GB2312" w:cs="Times New Roman"/>
          <w:bCs/>
          <w:kern w:val="0"/>
          <w:sz w:val="32"/>
          <w:szCs w:val="32"/>
          <w:lang w:val="en-US" w:eastAsia="zh-CN"/>
        </w:rPr>
        <w:t>30.17</w:t>
      </w:r>
      <w:r>
        <w:rPr>
          <w:rFonts w:hint="default" w:ascii="Times New Roman" w:hAnsi="Times New Roman" w:eastAsia="仿宋_GB2312" w:cs="Times New Roman"/>
          <w:bCs/>
          <w:kern w:val="0"/>
          <w:sz w:val="32"/>
          <w:szCs w:val="32"/>
        </w:rPr>
        <w:t>万元，占</w:t>
      </w:r>
      <w:r>
        <w:rPr>
          <w:rFonts w:hint="default" w:ascii="Times New Roman" w:hAnsi="Times New Roman" w:eastAsia="仿宋_GB2312" w:cs="Times New Roman"/>
          <w:bCs/>
          <w:kern w:val="0"/>
          <w:sz w:val="32"/>
          <w:szCs w:val="32"/>
          <w:lang w:val="en-US" w:eastAsia="zh-CN"/>
        </w:rPr>
        <w:t>51.54</w:t>
      </w:r>
      <w:r>
        <w:rPr>
          <w:rFonts w:hint="default" w:ascii="Times New Roman" w:hAnsi="Times New Roman" w:eastAsia="仿宋_GB2312" w:cs="Times New Roman"/>
          <w:bCs/>
          <w:kern w:val="0"/>
          <w:sz w:val="32"/>
          <w:szCs w:val="32"/>
        </w:rPr>
        <w:t>%</w:t>
      </w:r>
      <w:r>
        <w:rPr>
          <w:rFonts w:hint="eastAsia"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项目支出</w:t>
      </w:r>
      <w:r>
        <w:rPr>
          <w:rFonts w:hint="default" w:ascii="Times New Roman" w:hAnsi="Times New Roman" w:eastAsia="仿宋_GB2312" w:cs="Times New Roman"/>
          <w:bCs/>
          <w:kern w:val="0"/>
          <w:sz w:val="32"/>
          <w:szCs w:val="32"/>
          <w:lang w:val="en-US" w:eastAsia="zh-CN"/>
        </w:rPr>
        <w:t>28.38</w:t>
      </w:r>
      <w:r>
        <w:rPr>
          <w:rFonts w:hint="default" w:ascii="Times New Roman" w:hAnsi="Times New Roman" w:eastAsia="仿宋_GB2312" w:cs="Times New Roman"/>
          <w:bCs/>
          <w:kern w:val="0"/>
          <w:sz w:val="32"/>
          <w:szCs w:val="32"/>
        </w:rPr>
        <w:t>万元，占</w:t>
      </w:r>
      <w:r>
        <w:rPr>
          <w:rFonts w:hint="default" w:ascii="Times New Roman" w:hAnsi="Times New Roman" w:eastAsia="仿宋_GB2312" w:cs="Times New Roman"/>
          <w:bCs/>
          <w:kern w:val="0"/>
          <w:sz w:val="32"/>
          <w:szCs w:val="32"/>
          <w:lang w:val="en-US" w:eastAsia="zh-CN"/>
        </w:rPr>
        <w:t>48.46</w:t>
      </w:r>
      <w:r>
        <w:rPr>
          <w:rFonts w:hint="default" w:ascii="Times New Roman" w:hAnsi="Times New Roman" w:eastAsia="仿宋_GB2312" w:cs="Times New Roman"/>
          <w:bCs/>
          <w:kern w:val="0"/>
          <w:sz w:val="32"/>
          <w:szCs w:val="32"/>
        </w:rPr>
        <w:t>%；经营支出</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万元，占</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%；上缴上级支出</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万元，占</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w:t>
      </w:r>
      <w:r>
        <w:rPr>
          <w:rFonts w:hint="default" w:ascii="Times New Roman" w:hAnsi="Times New Roman" w:eastAsia="仿宋_GB2312" w:cs="Times New Roman"/>
          <w:bCs/>
          <w:kern w:val="0"/>
          <w:sz w:val="32"/>
          <w:szCs w:val="32"/>
          <w:lang w:eastAsia="zh-CN"/>
        </w:rPr>
        <w:t>；对附属单位补助支出</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万元，占</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w:t>
      </w:r>
    </w:p>
    <w:p>
      <w:pPr>
        <w:autoSpaceDE w:val="0"/>
        <w:autoSpaceDN w:val="0"/>
        <w:adjustRightInd w:val="0"/>
        <w:spacing w:line="580" w:lineRule="exact"/>
        <w:ind w:firstLine="643" w:firstLineChars="200"/>
        <w:jc w:val="left"/>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四、2020年度财政拨款收入支出决算情况</w:t>
      </w:r>
    </w:p>
    <w:p>
      <w:pPr>
        <w:autoSpaceDE w:val="0"/>
        <w:autoSpaceDN w:val="0"/>
        <w:adjustRightInd w:val="0"/>
        <w:spacing w:line="580" w:lineRule="exact"/>
        <w:ind w:firstLine="640" w:firstLineChars="200"/>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本</w:t>
      </w:r>
      <w:r>
        <w:rPr>
          <w:rFonts w:hint="eastAsia" w:eastAsia="仿宋_GB2312" w:cs="Times New Roman"/>
          <w:bCs/>
          <w:kern w:val="0"/>
          <w:sz w:val="32"/>
          <w:szCs w:val="32"/>
          <w:lang w:eastAsia="zh-CN"/>
        </w:rPr>
        <w:t>单位</w:t>
      </w:r>
      <w:r>
        <w:rPr>
          <w:rFonts w:hint="default" w:ascii="Times New Roman" w:hAnsi="Times New Roman" w:eastAsia="仿宋_GB2312" w:cs="Times New Roman"/>
          <w:bCs/>
          <w:kern w:val="0"/>
          <w:sz w:val="32"/>
          <w:szCs w:val="32"/>
        </w:rPr>
        <w:t>2020年度财政拨款收、支总决算</w:t>
      </w:r>
      <w:r>
        <w:rPr>
          <w:rFonts w:hint="default" w:ascii="Times New Roman" w:hAnsi="Times New Roman" w:eastAsia="仿宋_GB2312" w:cs="Times New Roman"/>
          <w:bCs/>
          <w:kern w:val="0"/>
          <w:sz w:val="32"/>
          <w:szCs w:val="32"/>
          <w:lang w:val="en-US" w:eastAsia="zh-CN"/>
        </w:rPr>
        <w:t>60.92</w:t>
      </w:r>
      <w:r>
        <w:rPr>
          <w:rFonts w:hint="default" w:ascii="Times New Roman" w:hAnsi="Times New Roman" w:eastAsia="仿宋_GB2312" w:cs="Times New Roman"/>
          <w:bCs/>
          <w:kern w:val="0"/>
          <w:sz w:val="32"/>
          <w:szCs w:val="32"/>
        </w:rPr>
        <w:t>万元、</w:t>
      </w:r>
      <w:r>
        <w:rPr>
          <w:rFonts w:hint="default" w:ascii="Times New Roman" w:hAnsi="Times New Roman" w:eastAsia="仿宋_GB2312" w:cs="Times New Roman"/>
          <w:bCs/>
          <w:kern w:val="0"/>
          <w:sz w:val="32"/>
          <w:szCs w:val="32"/>
          <w:lang w:val="en-US" w:eastAsia="zh-CN"/>
        </w:rPr>
        <w:t>60.92</w:t>
      </w:r>
      <w:r>
        <w:rPr>
          <w:rFonts w:hint="default" w:ascii="Times New Roman" w:hAnsi="Times New Roman" w:eastAsia="仿宋_GB2312" w:cs="Times New Roman"/>
          <w:bCs/>
          <w:kern w:val="0"/>
          <w:sz w:val="32"/>
          <w:szCs w:val="32"/>
        </w:rPr>
        <w:t>万元。与 2019 年相比，财政拨款收、支总计各增加</w:t>
      </w:r>
      <w:r>
        <w:rPr>
          <w:rFonts w:hint="default" w:ascii="Times New Roman" w:hAnsi="Times New Roman" w:eastAsia="仿宋_GB2312" w:cs="Times New Roman"/>
          <w:bCs/>
          <w:kern w:val="0"/>
          <w:sz w:val="32"/>
          <w:szCs w:val="32"/>
          <w:lang w:val="en-US" w:eastAsia="zh-CN"/>
        </w:rPr>
        <w:t>48.4</w:t>
      </w:r>
      <w:r>
        <w:rPr>
          <w:rFonts w:hint="default" w:ascii="Times New Roman" w:hAnsi="Times New Roman" w:eastAsia="仿宋_GB2312" w:cs="Times New Roman"/>
          <w:bCs/>
          <w:kern w:val="0"/>
          <w:sz w:val="32"/>
          <w:szCs w:val="32"/>
        </w:rPr>
        <w:t>万元</w:t>
      </w:r>
      <w:r>
        <w:rPr>
          <w:rFonts w:hint="default" w:ascii="Times New Roman" w:hAnsi="Times New Roman" w:eastAsia="仿宋_GB2312" w:cs="Times New Roman"/>
          <w:bCs/>
          <w:kern w:val="0"/>
          <w:sz w:val="32"/>
          <w:szCs w:val="32"/>
          <w:lang w:eastAsia="zh-CN"/>
        </w:rPr>
        <w:t>、</w:t>
      </w:r>
      <w:r>
        <w:rPr>
          <w:rFonts w:hint="default" w:ascii="Times New Roman" w:hAnsi="Times New Roman" w:eastAsia="仿宋_GB2312" w:cs="Times New Roman"/>
          <w:bCs/>
          <w:kern w:val="0"/>
          <w:sz w:val="32"/>
          <w:szCs w:val="32"/>
          <w:lang w:val="en-US" w:eastAsia="zh-CN"/>
        </w:rPr>
        <w:t>48.4万元</w:t>
      </w:r>
      <w:r>
        <w:rPr>
          <w:rFonts w:hint="default" w:ascii="Times New Roman" w:hAnsi="Times New Roman" w:eastAsia="仿宋_GB2312" w:cs="Times New Roman"/>
          <w:bCs/>
          <w:kern w:val="0"/>
          <w:sz w:val="32"/>
          <w:szCs w:val="32"/>
        </w:rPr>
        <w:t>，</w:t>
      </w:r>
      <w:r>
        <w:rPr>
          <w:rFonts w:hint="default" w:ascii="Times New Roman" w:hAnsi="Times New Roman" w:eastAsia="仿宋_GB2312" w:cs="Times New Roman"/>
          <w:bCs/>
          <w:kern w:val="0"/>
          <w:sz w:val="32"/>
          <w:szCs w:val="32"/>
          <w:lang w:eastAsia="zh-CN"/>
        </w:rPr>
        <w:t>均</w:t>
      </w:r>
      <w:r>
        <w:rPr>
          <w:rFonts w:hint="default" w:ascii="Times New Roman" w:hAnsi="Times New Roman" w:eastAsia="仿宋_GB2312" w:cs="Times New Roman"/>
          <w:bCs/>
          <w:kern w:val="0"/>
          <w:sz w:val="32"/>
          <w:szCs w:val="32"/>
        </w:rPr>
        <w:t>增长</w:t>
      </w:r>
      <w:r>
        <w:rPr>
          <w:rFonts w:hint="default" w:ascii="Times New Roman" w:hAnsi="Times New Roman" w:eastAsia="仿宋_GB2312" w:cs="Times New Roman"/>
          <w:bCs/>
          <w:kern w:val="0"/>
          <w:sz w:val="32"/>
          <w:szCs w:val="32"/>
          <w:lang w:val="en-US" w:eastAsia="zh-CN"/>
        </w:rPr>
        <w:t>386.58</w:t>
      </w:r>
      <w:r>
        <w:rPr>
          <w:rFonts w:hint="default" w:ascii="Times New Roman" w:hAnsi="Times New Roman" w:eastAsia="仿宋_GB2312" w:cs="Times New Roman"/>
          <w:bCs/>
          <w:kern w:val="0"/>
          <w:sz w:val="32"/>
          <w:szCs w:val="32"/>
        </w:rPr>
        <w:t>%。</w:t>
      </w:r>
    </w:p>
    <w:p>
      <w:pPr>
        <w:autoSpaceDE w:val="0"/>
        <w:autoSpaceDN w:val="0"/>
        <w:adjustRightInd w:val="0"/>
        <w:spacing w:line="580" w:lineRule="exact"/>
        <w:ind w:firstLine="643" w:firstLineChars="200"/>
        <w:jc w:val="left"/>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五、2020年度一般公共预算财政拨款支出决算情况</w:t>
      </w:r>
    </w:p>
    <w:p>
      <w:pPr>
        <w:autoSpaceDE w:val="0"/>
        <w:autoSpaceDN w:val="0"/>
        <w:adjustRightInd w:val="0"/>
        <w:spacing w:line="580" w:lineRule="exact"/>
        <w:ind w:firstLine="640" w:firstLineChars="200"/>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 xml:space="preserve">（一）财政拨款支出决算情况。 </w:t>
      </w:r>
    </w:p>
    <w:p>
      <w:pPr>
        <w:autoSpaceDE w:val="0"/>
        <w:autoSpaceDN w:val="0"/>
        <w:adjustRightInd w:val="0"/>
        <w:spacing w:line="580" w:lineRule="exact"/>
        <w:ind w:firstLine="640" w:firstLineChars="200"/>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2020年度财政拨款支出</w:t>
      </w:r>
      <w:r>
        <w:rPr>
          <w:rFonts w:hint="default" w:ascii="Times New Roman" w:hAnsi="Times New Roman" w:eastAsia="仿宋_GB2312" w:cs="Times New Roman"/>
          <w:bCs/>
          <w:kern w:val="0"/>
          <w:sz w:val="32"/>
          <w:szCs w:val="32"/>
          <w:lang w:val="en-US" w:eastAsia="zh-CN"/>
        </w:rPr>
        <w:t>58.54</w:t>
      </w:r>
      <w:r>
        <w:rPr>
          <w:rFonts w:hint="default" w:ascii="Times New Roman" w:hAnsi="Times New Roman" w:eastAsia="仿宋_GB2312" w:cs="Times New Roman"/>
          <w:bCs/>
          <w:kern w:val="0"/>
          <w:sz w:val="32"/>
          <w:szCs w:val="32"/>
        </w:rPr>
        <w:t>万元，占本年支出合计的</w:t>
      </w:r>
      <w:r>
        <w:rPr>
          <w:rFonts w:hint="default" w:ascii="Times New Roman" w:hAnsi="Times New Roman" w:eastAsia="仿宋_GB2312" w:cs="Times New Roman"/>
          <w:bCs/>
          <w:kern w:val="0"/>
          <w:sz w:val="32"/>
          <w:szCs w:val="32"/>
          <w:lang w:val="en-US" w:eastAsia="zh-CN"/>
        </w:rPr>
        <w:t>96.09</w:t>
      </w:r>
      <w:r>
        <w:rPr>
          <w:rFonts w:hint="default" w:ascii="Times New Roman" w:hAnsi="Times New Roman" w:eastAsia="仿宋_GB2312" w:cs="Times New Roman"/>
          <w:bCs/>
          <w:kern w:val="0"/>
          <w:sz w:val="32"/>
          <w:szCs w:val="32"/>
        </w:rPr>
        <w:t>%。与 2019 年相比，财政拨款支出增</w:t>
      </w:r>
      <w:r>
        <w:rPr>
          <w:rFonts w:hint="default" w:ascii="Times New Roman" w:hAnsi="Times New Roman" w:eastAsia="仿宋_GB2312" w:cs="Times New Roman"/>
          <w:bCs/>
          <w:kern w:val="0"/>
          <w:sz w:val="32"/>
          <w:szCs w:val="32"/>
          <w:lang w:eastAsia="zh-CN"/>
        </w:rPr>
        <w:t>加</w:t>
      </w:r>
      <w:r>
        <w:rPr>
          <w:rFonts w:hint="default" w:ascii="Times New Roman" w:hAnsi="Times New Roman" w:eastAsia="仿宋_GB2312" w:cs="Times New Roman"/>
          <w:bCs/>
          <w:kern w:val="0"/>
          <w:sz w:val="32"/>
          <w:szCs w:val="32"/>
          <w:lang w:val="en-US" w:eastAsia="zh-CN"/>
        </w:rPr>
        <w:t>47.36</w:t>
      </w:r>
      <w:r>
        <w:rPr>
          <w:rFonts w:hint="default" w:ascii="Times New Roman" w:hAnsi="Times New Roman" w:eastAsia="仿宋_GB2312" w:cs="Times New Roman"/>
          <w:bCs/>
          <w:kern w:val="0"/>
          <w:sz w:val="32"/>
          <w:szCs w:val="32"/>
        </w:rPr>
        <w:t>万元，增加</w:t>
      </w:r>
      <w:r>
        <w:rPr>
          <w:rFonts w:hint="default" w:ascii="Times New Roman" w:hAnsi="Times New Roman" w:eastAsia="仿宋_GB2312" w:cs="Times New Roman"/>
          <w:bCs/>
          <w:kern w:val="0"/>
          <w:sz w:val="32"/>
          <w:szCs w:val="32"/>
          <w:lang w:val="en-US" w:eastAsia="zh-CN"/>
        </w:rPr>
        <w:t>423.61</w:t>
      </w:r>
      <w:r>
        <w:rPr>
          <w:rFonts w:hint="default" w:ascii="Times New Roman" w:hAnsi="Times New Roman" w:eastAsia="仿宋_GB2312" w:cs="Times New Roman"/>
          <w:bCs/>
          <w:kern w:val="0"/>
          <w:sz w:val="32"/>
          <w:szCs w:val="32"/>
        </w:rPr>
        <w:t>%。</w:t>
      </w:r>
    </w:p>
    <w:p>
      <w:pPr>
        <w:autoSpaceDE w:val="0"/>
        <w:autoSpaceDN w:val="0"/>
        <w:adjustRightInd w:val="0"/>
        <w:spacing w:line="580" w:lineRule="exact"/>
        <w:ind w:firstLine="640" w:firstLineChars="200"/>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（二）财政拨款支出决算结构情况</w:t>
      </w:r>
    </w:p>
    <w:p>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 xml:space="preserve">     2020 年度财政拨款支出</w:t>
      </w:r>
      <w:r>
        <w:rPr>
          <w:rFonts w:hint="default" w:ascii="Times New Roman" w:hAnsi="Times New Roman" w:eastAsia="仿宋_GB2312" w:cs="Times New Roman"/>
          <w:bCs/>
          <w:kern w:val="0"/>
          <w:sz w:val="32"/>
          <w:szCs w:val="32"/>
          <w:lang w:val="en-US" w:eastAsia="zh-CN"/>
        </w:rPr>
        <w:t>58.54</w:t>
      </w:r>
      <w:r>
        <w:rPr>
          <w:rFonts w:hint="default" w:ascii="Times New Roman" w:hAnsi="Times New Roman" w:eastAsia="仿宋_GB2312" w:cs="Times New Roman"/>
          <w:bCs/>
          <w:kern w:val="0"/>
          <w:sz w:val="32"/>
          <w:szCs w:val="32"/>
        </w:rPr>
        <w:t>万元，主要用于以下方面：一般公共服务（类）支出</w:t>
      </w:r>
      <w:r>
        <w:rPr>
          <w:rFonts w:hint="default" w:ascii="Times New Roman" w:hAnsi="Times New Roman" w:eastAsia="仿宋_GB2312" w:cs="Times New Roman"/>
          <w:bCs/>
          <w:kern w:val="0"/>
          <w:sz w:val="32"/>
          <w:szCs w:val="32"/>
          <w:lang w:val="en-US" w:eastAsia="zh-CN"/>
        </w:rPr>
        <w:t>49.55</w:t>
      </w:r>
      <w:r>
        <w:rPr>
          <w:rFonts w:hint="default" w:ascii="Times New Roman" w:hAnsi="Times New Roman" w:eastAsia="仿宋_GB2312" w:cs="Times New Roman"/>
          <w:bCs/>
          <w:kern w:val="0"/>
          <w:sz w:val="32"/>
          <w:szCs w:val="32"/>
        </w:rPr>
        <w:t>万元， 占</w:t>
      </w:r>
      <w:r>
        <w:rPr>
          <w:rFonts w:hint="default" w:ascii="Times New Roman" w:hAnsi="Times New Roman" w:eastAsia="仿宋_GB2312" w:cs="Times New Roman"/>
          <w:bCs/>
          <w:kern w:val="0"/>
          <w:sz w:val="32"/>
          <w:szCs w:val="32"/>
          <w:lang w:val="en-US" w:eastAsia="zh-CN"/>
        </w:rPr>
        <w:t>84.64</w:t>
      </w:r>
      <w:r>
        <w:rPr>
          <w:rFonts w:hint="default" w:ascii="Times New Roman" w:hAnsi="Times New Roman" w:eastAsia="仿宋_GB2312" w:cs="Times New Roman"/>
          <w:bCs/>
          <w:kern w:val="0"/>
          <w:sz w:val="32"/>
          <w:szCs w:val="32"/>
        </w:rPr>
        <w:t>%</w:t>
      </w:r>
      <w:r>
        <w:rPr>
          <w:rFonts w:hint="default" w:ascii="Times New Roman" w:hAnsi="Times New Roman"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社会保障和就业（类）支出</w:t>
      </w:r>
      <w:r>
        <w:rPr>
          <w:rFonts w:hint="default" w:ascii="Times New Roman" w:hAnsi="Times New Roman" w:eastAsia="仿宋_GB2312" w:cs="Times New Roman"/>
          <w:bCs/>
          <w:kern w:val="0"/>
          <w:sz w:val="32"/>
          <w:szCs w:val="32"/>
          <w:lang w:val="en-US" w:eastAsia="zh-CN"/>
        </w:rPr>
        <w:t>4.77</w:t>
      </w:r>
      <w:r>
        <w:rPr>
          <w:rFonts w:hint="default" w:ascii="Times New Roman" w:hAnsi="Times New Roman" w:eastAsia="仿宋_GB2312" w:cs="Times New Roman"/>
          <w:bCs/>
          <w:kern w:val="0"/>
          <w:sz w:val="32"/>
          <w:szCs w:val="32"/>
        </w:rPr>
        <w:t>万元，占</w:t>
      </w:r>
      <w:r>
        <w:rPr>
          <w:rFonts w:hint="default" w:ascii="Times New Roman" w:hAnsi="Times New Roman" w:eastAsia="仿宋_GB2312" w:cs="Times New Roman"/>
          <w:bCs/>
          <w:kern w:val="0"/>
          <w:sz w:val="32"/>
          <w:szCs w:val="32"/>
          <w:lang w:val="en-US" w:eastAsia="zh-CN"/>
        </w:rPr>
        <w:t>8.15</w:t>
      </w:r>
      <w:r>
        <w:rPr>
          <w:rFonts w:hint="default" w:ascii="Times New Roman" w:hAnsi="Times New Roman" w:eastAsia="仿宋_GB2312" w:cs="Times New Roman"/>
          <w:bCs/>
          <w:kern w:val="0"/>
          <w:sz w:val="32"/>
          <w:szCs w:val="32"/>
        </w:rPr>
        <w:t>%；卫生健康</w:t>
      </w:r>
      <w:r>
        <w:rPr>
          <w:rFonts w:hint="default" w:ascii="Times New Roman" w:hAnsi="Times New Roman" w:eastAsia="仿宋_GB2312" w:cs="Times New Roman"/>
          <w:bCs/>
          <w:kern w:val="0"/>
          <w:sz w:val="32"/>
          <w:szCs w:val="32"/>
          <w:lang w:eastAsia="zh-CN"/>
        </w:rPr>
        <w:t>（类）</w:t>
      </w:r>
      <w:r>
        <w:rPr>
          <w:rFonts w:hint="default" w:ascii="Times New Roman" w:hAnsi="Times New Roman" w:eastAsia="仿宋_GB2312" w:cs="Times New Roman"/>
          <w:bCs/>
          <w:kern w:val="0"/>
          <w:sz w:val="32"/>
          <w:szCs w:val="32"/>
        </w:rPr>
        <w:t>支出</w:t>
      </w:r>
      <w:r>
        <w:rPr>
          <w:rFonts w:hint="default" w:ascii="Times New Roman" w:hAnsi="Times New Roman" w:eastAsia="仿宋_GB2312" w:cs="Times New Roman"/>
          <w:bCs/>
          <w:kern w:val="0"/>
          <w:sz w:val="32"/>
          <w:szCs w:val="32"/>
          <w:lang w:val="en-US" w:eastAsia="zh-CN"/>
        </w:rPr>
        <w:t>1.23</w:t>
      </w:r>
      <w:r>
        <w:rPr>
          <w:rFonts w:hint="default" w:ascii="Times New Roman" w:hAnsi="Times New Roman" w:eastAsia="仿宋_GB2312" w:cs="Times New Roman"/>
          <w:bCs/>
          <w:kern w:val="0"/>
          <w:sz w:val="32"/>
          <w:szCs w:val="32"/>
        </w:rPr>
        <w:t>万元，占</w:t>
      </w:r>
      <w:r>
        <w:rPr>
          <w:rFonts w:hint="default" w:ascii="Times New Roman" w:hAnsi="Times New Roman" w:eastAsia="仿宋_GB2312" w:cs="Times New Roman"/>
          <w:bCs/>
          <w:kern w:val="0"/>
          <w:sz w:val="32"/>
          <w:szCs w:val="32"/>
          <w:lang w:val="en-US" w:eastAsia="zh-CN"/>
        </w:rPr>
        <w:t>2.1</w:t>
      </w:r>
      <w:r>
        <w:rPr>
          <w:rFonts w:hint="default" w:ascii="Times New Roman" w:hAnsi="Times New Roman" w:eastAsia="仿宋_GB2312" w:cs="Times New Roman"/>
          <w:bCs/>
          <w:kern w:val="0"/>
          <w:sz w:val="32"/>
          <w:szCs w:val="32"/>
        </w:rPr>
        <w:t>%</w:t>
      </w:r>
      <w:r>
        <w:rPr>
          <w:rFonts w:hint="default" w:ascii="Times New Roman" w:hAnsi="Times New Roman"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住房保障（类）支出</w:t>
      </w:r>
      <w:r>
        <w:rPr>
          <w:rFonts w:hint="default" w:ascii="Times New Roman" w:hAnsi="Times New Roman" w:eastAsia="仿宋_GB2312" w:cs="Times New Roman"/>
          <w:bCs/>
          <w:kern w:val="0"/>
          <w:sz w:val="32"/>
          <w:szCs w:val="32"/>
          <w:lang w:val="en-US" w:eastAsia="zh-CN"/>
        </w:rPr>
        <w:t>3.00</w:t>
      </w:r>
      <w:r>
        <w:rPr>
          <w:rFonts w:hint="default" w:ascii="Times New Roman" w:hAnsi="Times New Roman" w:eastAsia="仿宋_GB2312" w:cs="Times New Roman"/>
          <w:bCs/>
          <w:kern w:val="0"/>
          <w:sz w:val="32"/>
          <w:szCs w:val="32"/>
        </w:rPr>
        <w:t>万元，占</w:t>
      </w:r>
      <w:r>
        <w:rPr>
          <w:rFonts w:hint="default" w:ascii="Times New Roman" w:hAnsi="Times New Roman" w:eastAsia="仿宋_GB2312" w:cs="Times New Roman"/>
          <w:bCs/>
          <w:kern w:val="0"/>
          <w:sz w:val="32"/>
          <w:szCs w:val="32"/>
          <w:lang w:val="en-US" w:eastAsia="zh-CN"/>
        </w:rPr>
        <w:t>5.12%。</w:t>
      </w:r>
    </w:p>
    <w:p>
      <w:pPr>
        <w:autoSpaceDE w:val="0"/>
        <w:autoSpaceDN w:val="0"/>
        <w:adjustRightInd w:val="0"/>
        <w:spacing w:line="580" w:lineRule="exact"/>
        <w:ind w:firstLine="640" w:firstLineChars="200"/>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（三）财政拨款支出决算具体情况</w:t>
      </w:r>
    </w:p>
    <w:p>
      <w:pPr>
        <w:autoSpaceDE w:val="0"/>
        <w:autoSpaceDN w:val="0"/>
        <w:adjustRightInd w:val="0"/>
        <w:spacing w:line="580" w:lineRule="exact"/>
        <w:ind w:firstLine="640" w:firstLineChars="200"/>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 xml:space="preserve"> 2020 年度财政拨款支出年初预算为</w:t>
      </w:r>
      <w:r>
        <w:rPr>
          <w:rFonts w:hint="default" w:ascii="Times New Roman" w:hAnsi="Times New Roman" w:eastAsia="仿宋_GB2312" w:cs="Times New Roman"/>
          <w:bCs/>
          <w:kern w:val="0"/>
          <w:sz w:val="32"/>
          <w:szCs w:val="32"/>
          <w:lang w:val="en-US" w:eastAsia="zh-CN"/>
        </w:rPr>
        <w:t>23.67</w:t>
      </w:r>
      <w:r>
        <w:rPr>
          <w:rFonts w:hint="default" w:ascii="Times New Roman" w:hAnsi="Times New Roman" w:eastAsia="仿宋_GB2312" w:cs="Times New Roman"/>
          <w:bCs/>
          <w:kern w:val="0"/>
          <w:sz w:val="32"/>
          <w:szCs w:val="32"/>
        </w:rPr>
        <w:t>万元，支出决算为</w:t>
      </w:r>
      <w:r>
        <w:rPr>
          <w:rFonts w:hint="default" w:ascii="Times New Roman" w:hAnsi="Times New Roman" w:eastAsia="仿宋_GB2312" w:cs="Times New Roman"/>
          <w:bCs/>
          <w:kern w:val="0"/>
          <w:sz w:val="32"/>
          <w:szCs w:val="32"/>
          <w:lang w:val="en-US" w:eastAsia="zh-CN"/>
        </w:rPr>
        <w:t>58.54</w:t>
      </w:r>
      <w:r>
        <w:rPr>
          <w:rFonts w:hint="default" w:ascii="Times New Roman" w:hAnsi="Times New Roman" w:eastAsia="仿宋_GB2312" w:cs="Times New Roman"/>
          <w:bCs/>
          <w:kern w:val="0"/>
          <w:sz w:val="32"/>
          <w:szCs w:val="32"/>
        </w:rPr>
        <w:t xml:space="preserve">万元，完成年初预算的 </w:t>
      </w:r>
      <w:r>
        <w:rPr>
          <w:rFonts w:hint="default" w:ascii="Times New Roman" w:hAnsi="Times New Roman" w:eastAsia="仿宋_GB2312" w:cs="Times New Roman"/>
          <w:bCs/>
          <w:kern w:val="0"/>
          <w:sz w:val="32"/>
          <w:szCs w:val="32"/>
          <w:lang w:val="en-US" w:eastAsia="zh-CN"/>
        </w:rPr>
        <w:t>147.32</w:t>
      </w:r>
      <w:r>
        <w:rPr>
          <w:rFonts w:hint="default" w:ascii="Times New Roman" w:hAnsi="Times New Roman" w:eastAsia="仿宋_GB2312" w:cs="Times New Roman"/>
          <w:bCs/>
          <w:kern w:val="0"/>
          <w:sz w:val="32"/>
          <w:szCs w:val="32"/>
        </w:rPr>
        <w:t>%。决算数大于预算数的主要原因：一是年中追加安排财政拨款支出预算，涉及项目有</w:t>
      </w:r>
      <w:r>
        <w:rPr>
          <w:rFonts w:hint="default" w:ascii="Times New Roman" w:hAnsi="Times New Roman" w:eastAsia="仿宋_GB2312" w:cs="Times New Roman"/>
          <w:bCs/>
          <w:kern w:val="0"/>
          <w:sz w:val="32"/>
          <w:szCs w:val="32"/>
          <w:lang w:eastAsia="zh-CN"/>
        </w:rPr>
        <w:t>财政资金聘用人员经费，</w:t>
      </w:r>
      <w:r>
        <w:rPr>
          <w:rFonts w:hint="eastAsia" w:eastAsia="仿宋_GB2312" w:cs="Times New Roman"/>
          <w:bCs/>
          <w:kern w:val="0"/>
          <w:sz w:val="32"/>
          <w:szCs w:val="32"/>
          <w:lang w:val="en-US" w:eastAsia="zh-CN"/>
        </w:rPr>
        <w:t>2020年增人增资经费，+</w:t>
      </w:r>
      <w:r>
        <w:rPr>
          <w:rFonts w:hint="default" w:ascii="Times New Roman" w:hAnsi="Times New Roman" w:eastAsia="仿宋_GB2312" w:cs="Times New Roman"/>
          <w:bCs/>
          <w:kern w:val="0"/>
          <w:sz w:val="32"/>
          <w:szCs w:val="32"/>
          <w:lang w:eastAsia="zh-CN"/>
        </w:rPr>
        <w:t>事业单位绩效工资增量及补发</w:t>
      </w:r>
      <w:r>
        <w:rPr>
          <w:rFonts w:hint="default" w:ascii="Times New Roman" w:hAnsi="Times New Roman" w:eastAsia="仿宋_GB2312" w:cs="Times New Roman"/>
          <w:bCs/>
          <w:kern w:val="0"/>
          <w:sz w:val="32"/>
          <w:szCs w:val="32"/>
          <w:lang w:val="en-US" w:eastAsia="zh-CN"/>
        </w:rPr>
        <w:t>2019年度差额</w:t>
      </w:r>
      <w:r>
        <w:rPr>
          <w:rFonts w:hint="default" w:ascii="Times New Roman" w:hAnsi="Times New Roman" w:eastAsia="仿宋_GB2312" w:cs="Times New Roman"/>
          <w:bCs/>
          <w:kern w:val="0"/>
          <w:sz w:val="32"/>
          <w:szCs w:val="32"/>
        </w:rPr>
        <w:t xml:space="preserve">；二是部分支出按规定，通过使用以前年度财政拨款结转资金解决。其中： </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Cs/>
          <w:kern w:val="0"/>
          <w:sz w:val="32"/>
          <w:szCs w:val="32"/>
          <w:lang w:eastAsia="zh-CN"/>
        </w:rPr>
      </w:pPr>
      <w:r>
        <w:rPr>
          <w:rFonts w:hint="default" w:ascii="Times New Roman" w:hAnsi="Times New Roman" w:eastAsia="仿宋_GB2312" w:cs="Times New Roman"/>
          <w:bCs/>
          <w:kern w:val="0"/>
          <w:sz w:val="32"/>
          <w:szCs w:val="32"/>
          <w:lang w:val="en-US" w:eastAsia="zh-CN"/>
        </w:rPr>
        <w:t>1.</w:t>
      </w:r>
      <w:r>
        <w:rPr>
          <w:rFonts w:hint="default" w:ascii="Times New Roman" w:hAnsi="Times New Roman" w:eastAsia="仿宋_GB2312" w:cs="Times New Roman"/>
          <w:bCs/>
          <w:kern w:val="0"/>
          <w:sz w:val="32"/>
          <w:szCs w:val="32"/>
        </w:rPr>
        <w:t>一般公共服务（类）党委办公厅（室）及相关机构事务（款）行政运行（项）。年初预算为</w:t>
      </w:r>
      <w:r>
        <w:rPr>
          <w:rFonts w:hint="default" w:ascii="Times New Roman" w:hAnsi="Times New Roman" w:eastAsia="仿宋_GB2312" w:cs="Times New Roman"/>
          <w:bCs/>
          <w:kern w:val="0"/>
          <w:sz w:val="32"/>
          <w:szCs w:val="32"/>
          <w:lang w:val="en-US" w:eastAsia="zh-CN"/>
        </w:rPr>
        <w:t>18.09</w:t>
      </w:r>
      <w:r>
        <w:rPr>
          <w:rFonts w:hint="default" w:ascii="Times New Roman" w:hAnsi="Times New Roman" w:eastAsia="仿宋_GB2312" w:cs="Times New Roman"/>
          <w:bCs/>
          <w:kern w:val="0"/>
          <w:sz w:val="32"/>
          <w:szCs w:val="32"/>
        </w:rPr>
        <w:t>万元，支出决算为</w:t>
      </w:r>
      <w:r>
        <w:rPr>
          <w:rFonts w:hint="default" w:ascii="Times New Roman" w:hAnsi="Times New Roman" w:eastAsia="仿宋_GB2312" w:cs="Times New Roman"/>
          <w:bCs/>
          <w:kern w:val="0"/>
          <w:sz w:val="32"/>
          <w:szCs w:val="32"/>
          <w:lang w:val="en-US" w:eastAsia="zh-CN"/>
        </w:rPr>
        <w:t>20.09</w:t>
      </w:r>
      <w:r>
        <w:rPr>
          <w:rFonts w:hint="default" w:ascii="Times New Roman" w:hAnsi="Times New Roman" w:eastAsia="仿宋_GB2312" w:cs="Times New Roman"/>
          <w:bCs/>
          <w:kern w:val="0"/>
          <w:sz w:val="32"/>
          <w:szCs w:val="32"/>
        </w:rPr>
        <w:t>万元，完成年初预算的</w:t>
      </w:r>
      <w:r>
        <w:rPr>
          <w:rFonts w:hint="default" w:ascii="Times New Roman" w:hAnsi="Times New Roman" w:eastAsia="仿宋_GB2312" w:cs="Times New Roman"/>
          <w:bCs/>
          <w:kern w:val="0"/>
          <w:sz w:val="32"/>
          <w:szCs w:val="32"/>
          <w:lang w:val="en-US" w:eastAsia="zh-CN"/>
        </w:rPr>
        <w:t>111.06</w:t>
      </w:r>
      <w:r>
        <w:rPr>
          <w:rFonts w:hint="default" w:ascii="Times New Roman" w:hAnsi="Times New Roman" w:eastAsia="仿宋_GB2312" w:cs="Times New Roman"/>
          <w:bCs/>
          <w:kern w:val="0"/>
          <w:sz w:val="32"/>
          <w:szCs w:val="32"/>
        </w:rPr>
        <w:t>%。决算数大于预算数的主要原因是</w:t>
      </w:r>
      <w:r>
        <w:rPr>
          <w:rFonts w:hint="default" w:ascii="Times New Roman" w:hAnsi="Times New Roman" w:eastAsia="仿宋_GB2312" w:cs="Times New Roman"/>
          <w:bCs/>
          <w:kern w:val="0"/>
          <w:sz w:val="32"/>
          <w:szCs w:val="32"/>
          <w:lang w:eastAsia="zh-CN"/>
        </w:rPr>
        <w:t>年度追加二层事业单位绩效工资增减量以及增人增资经费。</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_GB2312" w:cs="Times New Roman"/>
          <w:bCs/>
          <w:kern w:val="0"/>
          <w:sz w:val="32"/>
          <w:szCs w:val="32"/>
          <w:lang w:eastAsia="zh-CN"/>
        </w:rPr>
      </w:pPr>
      <w:r>
        <w:rPr>
          <w:rFonts w:hint="default" w:ascii="Times New Roman" w:hAnsi="Times New Roman" w:eastAsia="仿宋_GB2312" w:cs="Times New Roman"/>
          <w:bCs/>
          <w:kern w:val="0"/>
          <w:sz w:val="32"/>
          <w:szCs w:val="32"/>
          <w:lang w:val="en-US" w:eastAsia="zh-CN"/>
        </w:rPr>
        <w:t>2.</w:t>
      </w:r>
      <w:r>
        <w:rPr>
          <w:rFonts w:hint="default" w:ascii="Times New Roman" w:hAnsi="Times New Roman" w:eastAsia="仿宋_GB2312" w:cs="Times New Roman"/>
          <w:bCs/>
          <w:kern w:val="0"/>
          <w:sz w:val="32"/>
          <w:szCs w:val="32"/>
        </w:rPr>
        <w:t>一般公共服务（类）党委办公厅（室）及相关机构事务（款）其他党委办公厅（室）及相关机构事务支出（项）。年初预算为</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万元，支出决算为</w:t>
      </w:r>
      <w:r>
        <w:rPr>
          <w:rFonts w:hint="default" w:ascii="Times New Roman" w:hAnsi="Times New Roman" w:eastAsia="仿宋_GB2312" w:cs="Times New Roman"/>
          <w:bCs/>
          <w:kern w:val="0"/>
          <w:sz w:val="32"/>
          <w:szCs w:val="32"/>
          <w:lang w:val="en-US" w:eastAsia="zh-CN"/>
        </w:rPr>
        <w:t>28.37</w:t>
      </w:r>
      <w:r>
        <w:rPr>
          <w:rFonts w:hint="default" w:ascii="Times New Roman" w:hAnsi="Times New Roman" w:eastAsia="仿宋_GB2312" w:cs="Times New Roman"/>
          <w:bCs/>
          <w:kern w:val="0"/>
          <w:sz w:val="32"/>
          <w:szCs w:val="32"/>
        </w:rPr>
        <w:t>万元。决算数</w:t>
      </w:r>
      <w:r>
        <w:rPr>
          <w:rFonts w:hint="default" w:ascii="Times New Roman" w:hAnsi="Times New Roman" w:eastAsia="仿宋_GB2312" w:cs="Times New Roman"/>
          <w:bCs/>
          <w:kern w:val="0"/>
          <w:sz w:val="32"/>
          <w:szCs w:val="32"/>
          <w:lang w:eastAsia="zh-CN"/>
        </w:rPr>
        <w:t>大于</w:t>
      </w:r>
      <w:r>
        <w:rPr>
          <w:rFonts w:hint="default" w:ascii="Times New Roman" w:hAnsi="Times New Roman" w:eastAsia="仿宋_GB2312" w:cs="Times New Roman"/>
          <w:bCs/>
          <w:kern w:val="0"/>
          <w:sz w:val="32"/>
          <w:szCs w:val="32"/>
        </w:rPr>
        <w:t>预算数的主要原因</w:t>
      </w:r>
      <w:r>
        <w:rPr>
          <w:rFonts w:hint="default" w:ascii="Times New Roman" w:hAnsi="Times New Roman" w:eastAsia="仿宋_GB2312" w:cs="Times New Roman"/>
          <w:bCs/>
          <w:kern w:val="0"/>
          <w:sz w:val="32"/>
          <w:szCs w:val="32"/>
          <w:lang w:eastAsia="zh-CN"/>
        </w:rPr>
        <w:t>该项经费为当年追加</w:t>
      </w:r>
      <w:r>
        <w:rPr>
          <w:rFonts w:hint="default" w:ascii="Times New Roman" w:hAnsi="Times New Roman" w:eastAsia="仿宋_GB2312" w:cs="Times New Roman"/>
          <w:bCs/>
          <w:kern w:val="0"/>
          <w:sz w:val="32"/>
          <w:szCs w:val="32"/>
          <w:lang w:val="en-US" w:eastAsia="zh-CN"/>
        </w:rPr>
        <w:t>2020年二层机构聘用人员专项经费</w:t>
      </w:r>
      <w:r>
        <w:rPr>
          <w:rFonts w:hint="default" w:ascii="Times New Roman" w:hAnsi="Times New Roman" w:eastAsia="仿宋_GB2312" w:cs="Times New Roman"/>
          <w:bCs/>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bCs/>
          <w:kern w:val="0"/>
          <w:sz w:val="32"/>
          <w:szCs w:val="32"/>
          <w:lang w:eastAsia="zh-CN"/>
        </w:rPr>
      </w:pPr>
      <w:r>
        <w:rPr>
          <w:rFonts w:hint="default" w:ascii="Times New Roman" w:hAnsi="Times New Roman" w:eastAsia="仿宋_GB2312" w:cs="Times New Roman"/>
          <w:bCs/>
          <w:kern w:val="0"/>
          <w:sz w:val="32"/>
          <w:szCs w:val="32"/>
          <w:lang w:val="en-US" w:eastAsia="zh-CN"/>
        </w:rPr>
        <w:t>3.</w:t>
      </w:r>
      <w:r>
        <w:rPr>
          <w:rFonts w:hint="default" w:ascii="Times New Roman" w:hAnsi="Times New Roman" w:eastAsia="仿宋_GB2312" w:cs="Times New Roman"/>
          <w:bCs/>
          <w:kern w:val="0"/>
          <w:sz w:val="32"/>
          <w:szCs w:val="32"/>
        </w:rPr>
        <w:t>一般公共服务（类）网信事务（款）</w:t>
      </w:r>
      <w:r>
        <w:rPr>
          <w:rFonts w:hint="default" w:ascii="Times New Roman" w:hAnsi="Times New Roman" w:eastAsia="仿宋_GB2312" w:cs="Times New Roman"/>
          <w:bCs/>
          <w:kern w:val="0"/>
          <w:sz w:val="32"/>
          <w:szCs w:val="32"/>
          <w:lang w:eastAsia="zh-CN"/>
        </w:rPr>
        <w:t>事业</w:t>
      </w:r>
      <w:r>
        <w:rPr>
          <w:rFonts w:hint="default" w:ascii="Times New Roman" w:hAnsi="Times New Roman" w:eastAsia="仿宋_GB2312" w:cs="Times New Roman"/>
          <w:bCs/>
          <w:kern w:val="0"/>
          <w:sz w:val="32"/>
          <w:szCs w:val="32"/>
        </w:rPr>
        <w:t>运行（项）。年初预算为</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万元，支出决算为</w:t>
      </w:r>
      <w:r>
        <w:rPr>
          <w:rFonts w:hint="default" w:ascii="Times New Roman" w:hAnsi="Times New Roman" w:eastAsia="仿宋_GB2312" w:cs="Times New Roman"/>
          <w:bCs/>
          <w:kern w:val="0"/>
          <w:sz w:val="32"/>
          <w:szCs w:val="32"/>
          <w:lang w:val="en-US" w:eastAsia="zh-CN"/>
        </w:rPr>
        <w:t>1.08</w:t>
      </w:r>
      <w:r>
        <w:rPr>
          <w:rFonts w:hint="default" w:ascii="Times New Roman" w:hAnsi="Times New Roman" w:eastAsia="仿宋_GB2312" w:cs="Times New Roman"/>
          <w:bCs/>
          <w:kern w:val="0"/>
          <w:sz w:val="32"/>
          <w:szCs w:val="32"/>
        </w:rPr>
        <w:t>万元。决算数</w:t>
      </w:r>
      <w:r>
        <w:rPr>
          <w:rFonts w:hint="default" w:ascii="Times New Roman" w:hAnsi="Times New Roman" w:eastAsia="仿宋_GB2312" w:cs="Times New Roman"/>
          <w:bCs/>
          <w:kern w:val="0"/>
          <w:sz w:val="32"/>
          <w:szCs w:val="32"/>
          <w:lang w:eastAsia="zh-CN"/>
        </w:rPr>
        <w:t>大于</w:t>
      </w:r>
      <w:r>
        <w:rPr>
          <w:rFonts w:hint="default" w:ascii="Times New Roman" w:hAnsi="Times New Roman" w:eastAsia="仿宋_GB2312" w:cs="Times New Roman"/>
          <w:bCs/>
          <w:kern w:val="0"/>
          <w:sz w:val="32"/>
          <w:szCs w:val="32"/>
        </w:rPr>
        <w:t>预算数的主要原因是</w:t>
      </w:r>
      <w:r>
        <w:rPr>
          <w:rFonts w:hint="default" w:ascii="Times New Roman" w:hAnsi="Times New Roman" w:eastAsia="仿宋_GB2312" w:cs="Times New Roman"/>
          <w:bCs/>
          <w:kern w:val="0"/>
          <w:sz w:val="32"/>
          <w:szCs w:val="32"/>
          <w:lang w:eastAsia="zh-CN"/>
        </w:rPr>
        <w:t>当年追加了</w:t>
      </w:r>
      <w:r>
        <w:rPr>
          <w:rFonts w:hint="default" w:ascii="Times New Roman" w:hAnsi="Times New Roman" w:eastAsia="仿宋_GB2312" w:cs="Times New Roman"/>
          <w:bCs/>
          <w:kern w:val="0"/>
          <w:sz w:val="32"/>
          <w:szCs w:val="32"/>
          <w:lang w:val="en-US" w:eastAsia="zh-CN"/>
        </w:rPr>
        <w:t>2019年度绩效考评奖励经费</w:t>
      </w:r>
      <w:r>
        <w:rPr>
          <w:rFonts w:hint="default" w:ascii="Times New Roman" w:hAnsi="Times New Roman" w:eastAsia="仿宋_GB2312" w:cs="Times New Roman"/>
          <w:bCs/>
          <w:kern w:val="0"/>
          <w:sz w:val="32"/>
          <w:szCs w:val="32"/>
          <w:lang w:eastAsia="zh-CN"/>
        </w:rPr>
        <w:t>及增人增资经费。</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_GB2312" w:cs="Times New Roman"/>
          <w:bCs/>
          <w:kern w:val="0"/>
          <w:sz w:val="32"/>
          <w:szCs w:val="32"/>
          <w:lang w:val="en-US" w:eastAsia="zh-CN"/>
        </w:rPr>
      </w:pPr>
      <w:r>
        <w:rPr>
          <w:rFonts w:hint="default" w:ascii="Times New Roman" w:hAnsi="Times New Roman" w:eastAsia="仿宋_GB2312" w:cs="Times New Roman"/>
          <w:bCs/>
          <w:kern w:val="0"/>
          <w:sz w:val="32"/>
          <w:szCs w:val="32"/>
          <w:lang w:val="en-US" w:eastAsia="zh-CN"/>
        </w:rPr>
        <w:t>4.</w:t>
      </w:r>
      <w:r>
        <w:rPr>
          <w:rFonts w:hint="default" w:ascii="Times New Roman" w:hAnsi="Times New Roman" w:eastAsia="仿宋_GB2312" w:cs="Times New Roman"/>
          <w:bCs/>
          <w:kern w:val="0"/>
          <w:sz w:val="32"/>
          <w:szCs w:val="32"/>
        </w:rPr>
        <w:t>社会保障和就业支出（类）行政事业单位养老支出（款）机关事业单位基本养老保险缴费支出（项）。年初预算为</w:t>
      </w:r>
      <w:r>
        <w:rPr>
          <w:rFonts w:hint="default" w:ascii="Times New Roman" w:hAnsi="Times New Roman" w:eastAsia="仿宋_GB2312" w:cs="Times New Roman"/>
          <w:bCs/>
          <w:kern w:val="0"/>
          <w:sz w:val="32"/>
          <w:szCs w:val="32"/>
          <w:lang w:val="en-US" w:eastAsia="zh-CN"/>
        </w:rPr>
        <w:t>2.04</w:t>
      </w:r>
      <w:r>
        <w:rPr>
          <w:rFonts w:hint="default" w:ascii="Times New Roman" w:hAnsi="Times New Roman" w:eastAsia="仿宋_GB2312" w:cs="Times New Roman"/>
          <w:bCs/>
          <w:kern w:val="0"/>
          <w:sz w:val="32"/>
          <w:szCs w:val="32"/>
        </w:rPr>
        <w:t>万元，支出决算为</w:t>
      </w:r>
      <w:r>
        <w:rPr>
          <w:rFonts w:hint="default" w:ascii="Times New Roman" w:hAnsi="Times New Roman" w:eastAsia="仿宋_GB2312" w:cs="Times New Roman"/>
          <w:bCs/>
          <w:kern w:val="0"/>
          <w:sz w:val="32"/>
          <w:szCs w:val="32"/>
          <w:lang w:val="en-US" w:eastAsia="zh-CN"/>
        </w:rPr>
        <w:t>3.75</w:t>
      </w:r>
      <w:r>
        <w:rPr>
          <w:rFonts w:hint="default" w:ascii="Times New Roman" w:hAnsi="Times New Roman" w:eastAsia="仿宋_GB2312" w:cs="Times New Roman"/>
          <w:bCs/>
          <w:kern w:val="0"/>
          <w:sz w:val="32"/>
          <w:szCs w:val="32"/>
        </w:rPr>
        <w:t>万元，完成年初预算的</w:t>
      </w:r>
      <w:r>
        <w:rPr>
          <w:rFonts w:hint="default" w:ascii="Times New Roman" w:hAnsi="Times New Roman" w:eastAsia="仿宋_GB2312" w:cs="Times New Roman"/>
          <w:bCs/>
          <w:kern w:val="0"/>
          <w:sz w:val="32"/>
          <w:szCs w:val="32"/>
          <w:lang w:val="en-US" w:eastAsia="zh-CN"/>
        </w:rPr>
        <w:t>183.82%</w:t>
      </w:r>
      <w:r>
        <w:rPr>
          <w:rFonts w:hint="default" w:ascii="Times New Roman" w:hAnsi="Times New Roman" w:eastAsia="仿宋_GB2312" w:cs="Times New Roman"/>
          <w:bCs/>
          <w:kern w:val="0"/>
          <w:sz w:val="32"/>
          <w:szCs w:val="32"/>
        </w:rPr>
        <w:t>。决算数</w:t>
      </w:r>
      <w:r>
        <w:rPr>
          <w:rFonts w:hint="default" w:ascii="Times New Roman" w:hAnsi="Times New Roman" w:eastAsia="仿宋_GB2312" w:cs="Times New Roman"/>
          <w:bCs/>
          <w:kern w:val="0"/>
          <w:sz w:val="32"/>
          <w:szCs w:val="32"/>
          <w:lang w:eastAsia="zh-CN"/>
        </w:rPr>
        <w:t>大于</w:t>
      </w:r>
      <w:r>
        <w:rPr>
          <w:rFonts w:hint="default" w:ascii="Times New Roman" w:hAnsi="Times New Roman" w:eastAsia="仿宋_GB2312" w:cs="Times New Roman"/>
          <w:bCs/>
          <w:kern w:val="0"/>
          <w:sz w:val="32"/>
          <w:szCs w:val="32"/>
        </w:rPr>
        <w:t>预算数的主要原因</w:t>
      </w:r>
      <w:r>
        <w:rPr>
          <w:rFonts w:hint="default" w:ascii="Times New Roman" w:hAnsi="Times New Roman" w:eastAsia="仿宋_GB2312" w:cs="Times New Roman"/>
          <w:bCs/>
          <w:kern w:val="0"/>
          <w:sz w:val="32"/>
          <w:szCs w:val="32"/>
          <w:lang w:eastAsia="zh-CN"/>
        </w:rPr>
        <w:t>当年追加</w:t>
      </w:r>
      <w:r>
        <w:rPr>
          <w:rFonts w:hint="default" w:ascii="Times New Roman" w:hAnsi="Times New Roman" w:eastAsia="仿宋_GB2312" w:cs="Times New Roman"/>
          <w:bCs/>
          <w:kern w:val="0"/>
          <w:sz w:val="32"/>
          <w:szCs w:val="32"/>
          <w:lang w:val="en-US" w:eastAsia="zh-CN"/>
        </w:rPr>
        <w:t>2020年增人增资经费及绩效总量增减量补差。</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_GB2312" w:cs="Times New Roman"/>
          <w:bCs/>
          <w:kern w:val="0"/>
          <w:sz w:val="32"/>
          <w:szCs w:val="32"/>
          <w:lang w:eastAsia="zh-CN"/>
        </w:rPr>
      </w:pPr>
      <w:r>
        <w:rPr>
          <w:rFonts w:hint="default" w:ascii="Times New Roman" w:hAnsi="Times New Roman" w:eastAsia="仿宋_GB2312" w:cs="Times New Roman"/>
          <w:bCs/>
          <w:kern w:val="0"/>
          <w:sz w:val="32"/>
          <w:szCs w:val="32"/>
          <w:lang w:val="en-US" w:eastAsia="zh-CN"/>
        </w:rPr>
        <w:t>5.</w:t>
      </w:r>
      <w:r>
        <w:rPr>
          <w:rFonts w:hint="default" w:ascii="Times New Roman" w:hAnsi="Times New Roman" w:eastAsia="仿宋_GB2312" w:cs="Times New Roman"/>
          <w:bCs/>
          <w:kern w:val="0"/>
          <w:sz w:val="32"/>
          <w:szCs w:val="32"/>
        </w:rPr>
        <w:t>社会保障和就业支出（类）行政事业单位养老支出（款）机关事业单位职业年金缴费支出（项）。年初预算为</w:t>
      </w:r>
      <w:r>
        <w:rPr>
          <w:rFonts w:hint="default" w:ascii="Times New Roman" w:hAnsi="Times New Roman" w:eastAsia="仿宋_GB2312" w:cs="Times New Roman"/>
          <w:bCs/>
          <w:kern w:val="0"/>
          <w:sz w:val="32"/>
          <w:szCs w:val="32"/>
          <w:lang w:val="en-US" w:eastAsia="zh-CN"/>
        </w:rPr>
        <w:t>1.02</w:t>
      </w:r>
      <w:r>
        <w:rPr>
          <w:rFonts w:hint="default" w:ascii="Times New Roman" w:hAnsi="Times New Roman" w:eastAsia="仿宋_GB2312" w:cs="Times New Roman"/>
          <w:bCs/>
          <w:kern w:val="0"/>
          <w:sz w:val="32"/>
          <w:szCs w:val="32"/>
        </w:rPr>
        <w:t>万元，支出决算为</w:t>
      </w:r>
      <w:r>
        <w:rPr>
          <w:rFonts w:hint="default" w:ascii="Times New Roman" w:hAnsi="Times New Roman" w:eastAsia="仿宋_GB2312" w:cs="Times New Roman"/>
          <w:bCs/>
          <w:kern w:val="0"/>
          <w:sz w:val="32"/>
          <w:szCs w:val="32"/>
          <w:lang w:val="en-US" w:eastAsia="zh-CN"/>
        </w:rPr>
        <w:t>1.02</w:t>
      </w:r>
      <w:r>
        <w:rPr>
          <w:rFonts w:hint="default" w:ascii="Times New Roman" w:hAnsi="Times New Roman" w:eastAsia="仿宋_GB2312" w:cs="Times New Roman"/>
          <w:bCs/>
          <w:kern w:val="0"/>
          <w:sz w:val="32"/>
          <w:szCs w:val="32"/>
        </w:rPr>
        <w:t>万元，完成年初预算的</w:t>
      </w:r>
      <w:r>
        <w:rPr>
          <w:rFonts w:hint="default" w:ascii="Times New Roman" w:hAnsi="Times New Roman" w:eastAsia="仿宋_GB2312" w:cs="Times New Roman"/>
          <w:bCs/>
          <w:kern w:val="0"/>
          <w:sz w:val="32"/>
          <w:szCs w:val="32"/>
          <w:lang w:val="en-US" w:eastAsia="zh-CN"/>
        </w:rPr>
        <w:t>100</w:t>
      </w:r>
      <w:r>
        <w:rPr>
          <w:rFonts w:hint="default" w:ascii="Times New Roman" w:hAnsi="Times New Roman" w:eastAsia="仿宋_GB2312" w:cs="Times New Roman"/>
          <w:bCs/>
          <w:kern w:val="0"/>
          <w:sz w:val="32"/>
          <w:szCs w:val="32"/>
        </w:rPr>
        <w:t>%。决算数</w:t>
      </w:r>
      <w:r>
        <w:rPr>
          <w:rFonts w:hint="default" w:ascii="Times New Roman" w:hAnsi="Times New Roman" w:eastAsia="仿宋_GB2312" w:cs="Times New Roman"/>
          <w:bCs/>
          <w:kern w:val="0"/>
          <w:sz w:val="32"/>
          <w:szCs w:val="32"/>
          <w:lang w:eastAsia="zh-CN"/>
        </w:rPr>
        <w:t>与</w:t>
      </w:r>
      <w:r>
        <w:rPr>
          <w:rFonts w:hint="default" w:ascii="Times New Roman" w:hAnsi="Times New Roman" w:eastAsia="仿宋_GB2312" w:cs="Times New Roman"/>
          <w:bCs/>
          <w:kern w:val="0"/>
          <w:sz w:val="32"/>
          <w:szCs w:val="32"/>
        </w:rPr>
        <w:t>预算数</w:t>
      </w:r>
      <w:r>
        <w:rPr>
          <w:rFonts w:hint="default" w:ascii="Times New Roman" w:hAnsi="Times New Roman" w:eastAsia="仿宋_GB2312" w:cs="Times New Roman"/>
          <w:bCs/>
          <w:kern w:val="0"/>
          <w:sz w:val="32"/>
          <w:szCs w:val="32"/>
          <w:lang w:eastAsia="zh-CN"/>
        </w:rPr>
        <w:t>基本一致。</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_GB2312" w:cs="Times New Roman"/>
          <w:bCs/>
          <w:kern w:val="0"/>
          <w:sz w:val="32"/>
          <w:szCs w:val="32"/>
          <w:lang w:eastAsia="zh-CN"/>
        </w:rPr>
      </w:pPr>
      <w:r>
        <w:rPr>
          <w:rFonts w:hint="default" w:ascii="Times New Roman" w:hAnsi="Times New Roman" w:eastAsia="仿宋_GB2312" w:cs="Times New Roman"/>
          <w:bCs/>
          <w:kern w:val="0"/>
          <w:sz w:val="32"/>
          <w:szCs w:val="32"/>
          <w:lang w:val="en-US" w:eastAsia="zh-CN"/>
        </w:rPr>
        <w:t>6.</w:t>
      </w:r>
      <w:r>
        <w:rPr>
          <w:rFonts w:hint="default" w:ascii="Times New Roman" w:hAnsi="Times New Roman" w:eastAsia="仿宋_GB2312" w:cs="Times New Roman"/>
          <w:bCs/>
          <w:kern w:val="0"/>
          <w:sz w:val="32"/>
          <w:szCs w:val="32"/>
        </w:rPr>
        <w:t>卫生健康支出（类）行政事业单位医疗（款）</w:t>
      </w:r>
      <w:r>
        <w:rPr>
          <w:rFonts w:hint="default" w:ascii="Times New Roman" w:hAnsi="Times New Roman" w:eastAsia="仿宋_GB2312" w:cs="Times New Roman"/>
          <w:bCs/>
          <w:kern w:val="0"/>
          <w:sz w:val="32"/>
          <w:szCs w:val="32"/>
          <w:lang w:eastAsia="zh-CN"/>
        </w:rPr>
        <w:t>事业</w:t>
      </w:r>
      <w:r>
        <w:rPr>
          <w:rFonts w:hint="default" w:ascii="Times New Roman" w:hAnsi="Times New Roman" w:eastAsia="仿宋_GB2312" w:cs="Times New Roman"/>
          <w:bCs/>
          <w:kern w:val="0"/>
          <w:sz w:val="32"/>
          <w:szCs w:val="32"/>
        </w:rPr>
        <w:t>单位医疗（项）。年初预算为</w:t>
      </w:r>
      <w:r>
        <w:rPr>
          <w:rFonts w:hint="default" w:ascii="Times New Roman" w:hAnsi="Times New Roman" w:eastAsia="仿宋_GB2312" w:cs="Times New Roman"/>
          <w:bCs/>
          <w:kern w:val="0"/>
          <w:sz w:val="32"/>
          <w:szCs w:val="32"/>
          <w:lang w:val="en-US" w:eastAsia="zh-CN"/>
        </w:rPr>
        <w:t>0.98</w:t>
      </w:r>
      <w:r>
        <w:rPr>
          <w:rFonts w:hint="default" w:ascii="Times New Roman" w:hAnsi="Times New Roman" w:eastAsia="仿宋_GB2312" w:cs="Times New Roman"/>
          <w:bCs/>
          <w:kern w:val="0"/>
          <w:sz w:val="32"/>
          <w:szCs w:val="32"/>
        </w:rPr>
        <w:t>万元，支出决算为</w:t>
      </w:r>
      <w:r>
        <w:rPr>
          <w:rFonts w:hint="default" w:ascii="Times New Roman" w:hAnsi="Times New Roman" w:eastAsia="仿宋_GB2312" w:cs="Times New Roman"/>
          <w:bCs/>
          <w:kern w:val="0"/>
          <w:sz w:val="32"/>
          <w:szCs w:val="32"/>
          <w:lang w:val="en-US" w:eastAsia="zh-CN"/>
        </w:rPr>
        <w:t>1.23</w:t>
      </w:r>
      <w:r>
        <w:rPr>
          <w:rFonts w:hint="default" w:ascii="Times New Roman" w:hAnsi="Times New Roman" w:eastAsia="仿宋_GB2312" w:cs="Times New Roman"/>
          <w:bCs/>
          <w:kern w:val="0"/>
          <w:sz w:val="32"/>
          <w:szCs w:val="32"/>
        </w:rPr>
        <w:t>万元，完成年初预算的</w:t>
      </w:r>
      <w:r>
        <w:rPr>
          <w:rFonts w:hint="default" w:ascii="Times New Roman" w:hAnsi="Times New Roman" w:eastAsia="仿宋_GB2312" w:cs="Times New Roman"/>
          <w:bCs/>
          <w:kern w:val="0"/>
          <w:sz w:val="32"/>
          <w:szCs w:val="32"/>
          <w:lang w:val="en-US" w:eastAsia="zh-CN"/>
        </w:rPr>
        <w:t>125.51</w:t>
      </w:r>
      <w:r>
        <w:rPr>
          <w:rFonts w:hint="default" w:ascii="Times New Roman" w:hAnsi="Times New Roman" w:eastAsia="仿宋_GB2312" w:cs="Times New Roman"/>
          <w:bCs/>
          <w:kern w:val="0"/>
          <w:sz w:val="32"/>
          <w:szCs w:val="32"/>
        </w:rPr>
        <w:t>%。决算数</w:t>
      </w:r>
      <w:r>
        <w:rPr>
          <w:rFonts w:hint="default" w:ascii="Times New Roman" w:hAnsi="Times New Roman" w:eastAsia="仿宋_GB2312" w:cs="Times New Roman"/>
          <w:bCs/>
          <w:kern w:val="0"/>
          <w:sz w:val="32"/>
          <w:szCs w:val="32"/>
          <w:lang w:eastAsia="zh-CN"/>
        </w:rPr>
        <w:t>大于</w:t>
      </w:r>
      <w:r>
        <w:rPr>
          <w:rFonts w:hint="default" w:ascii="Times New Roman" w:hAnsi="Times New Roman" w:eastAsia="仿宋_GB2312" w:cs="Times New Roman"/>
          <w:bCs/>
          <w:kern w:val="0"/>
          <w:sz w:val="32"/>
          <w:szCs w:val="32"/>
        </w:rPr>
        <w:t>预算数的主要原因</w:t>
      </w:r>
      <w:r>
        <w:rPr>
          <w:rFonts w:hint="default" w:ascii="Times New Roman" w:hAnsi="Times New Roman" w:eastAsia="仿宋_GB2312" w:cs="Times New Roman"/>
          <w:bCs/>
          <w:kern w:val="0"/>
          <w:sz w:val="32"/>
          <w:szCs w:val="32"/>
          <w:lang w:eastAsia="zh-CN"/>
        </w:rPr>
        <w:t>当年追加</w:t>
      </w:r>
      <w:r>
        <w:rPr>
          <w:rFonts w:hint="default" w:ascii="Times New Roman" w:hAnsi="Times New Roman" w:eastAsia="仿宋_GB2312" w:cs="Times New Roman"/>
          <w:bCs/>
          <w:kern w:val="0"/>
          <w:sz w:val="32"/>
          <w:szCs w:val="32"/>
          <w:lang w:val="en-US" w:eastAsia="zh-CN"/>
        </w:rPr>
        <w:t>2020年增人增资经费及绩效总量增减量补差</w:t>
      </w:r>
      <w:r>
        <w:rPr>
          <w:rFonts w:hint="default" w:ascii="Times New Roman" w:hAnsi="Times New Roman" w:eastAsia="仿宋_GB2312" w:cs="Times New Roman"/>
          <w:bCs/>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_GB2312" w:cs="Times New Roman"/>
          <w:bCs/>
          <w:kern w:val="0"/>
          <w:sz w:val="32"/>
          <w:szCs w:val="32"/>
          <w:lang w:val="en-US" w:eastAsia="zh-CN"/>
        </w:rPr>
      </w:pPr>
      <w:r>
        <w:rPr>
          <w:rFonts w:hint="default" w:ascii="Times New Roman" w:hAnsi="Times New Roman" w:eastAsia="仿宋_GB2312" w:cs="Times New Roman"/>
          <w:bCs/>
          <w:kern w:val="0"/>
          <w:sz w:val="32"/>
          <w:szCs w:val="32"/>
          <w:lang w:val="en-US" w:eastAsia="zh-CN"/>
        </w:rPr>
        <w:t>7.</w:t>
      </w:r>
      <w:r>
        <w:rPr>
          <w:rFonts w:hint="default" w:ascii="Times New Roman" w:hAnsi="Times New Roman" w:eastAsia="仿宋_GB2312" w:cs="Times New Roman"/>
          <w:bCs/>
          <w:kern w:val="0"/>
          <w:sz w:val="32"/>
          <w:szCs w:val="32"/>
        </w:rPr>
        <w:t>住房保障支出（类）住房改革支出（款）</w:t>
      </w:r>
      <w:r>
        <w:rPr>
          <w:rFonts w:hint="default" w:ascii="Times New Roman" w:hAnsi="Times New Roman" w:eastAsia="仿宋_GB2312" w:cs="Times New Roman"/>
          <w:bCs/>
          <w:kern w:val="0"/>
          <w:sz w:val="32"/>
          <w:szCs w:val="32"/>
          <w:lang w:eastAsia="zh-CN"/>
        </w:rPr>
        <w:t>住房公积金</w:t>
      </w:r>
      <w:r>
        <w:rPr>
          <w:rFonts w:hint="default" w:ascii="Times New Roman" w:hAnsi="Times New Roman" w:eastAsia="仿宋_GB2312" w:cs="Times New Roman"/>
          <w:bCs/>
          <w:kern w:val="0"/>
          <w:sz w:val="32"/>
          <w:szCs w:val="32"/>
        </w:rPr>
        <w:t>（项）。年初预算为</w:t>
      </w:r>
      <w:r>
        <w:rPr>
          <w:rFonts w:hint="default" w:ascii="Times New Roman" w:hAnsi="Times New Roman" w:eastAsia="仿宋_GB2312" w:cs="Times New Roman"/>
          <w:bCs/>
          <w:kern w:val="0"/>
          <w:sz w:val="32"/>
          <w:szCs w:val="32"/>
          <w:lang w:val="en-US" w:eastAsia="zh-CN"/>
        </w:rPr>
        <w:t>1.53</w:t>
      </w:r>
      <w:r>
        <w:rPr>
          <w:rFonts w:hint="default" w:ascii="Times New Roman" w:hAnsi="Times New Roman" w:eastAsia="仿宋_GB2312" w:cs="Times New Roman"/>
          <w:bCs/>
          <w:kern w:val="0"/>
          <w:sz w:val="32"/>
          <w:szCs w:val="32"/>
        </w:rPr>
        <w:t>万元，支出决算为</w:t>
      </w:r>
      <w:r>
        <w:rPr>
          <w:rFonts w:hint="default" w:ascii="Times New Roman" w:hAnsi="Times New Roman" w:eastAsia="仿宋_GB2312" w:cs="Times New Roman"/>
          <w:bCs/>
          <w:kern w:val="0"/>
          <w:sz w:val="32"/>
          <w:szCs w:val="32"/>
          <w:lang w:val="en-US" w:eastAsia="zh-CN"/>
        </w:rPr>
        <w:t>3</w:t>
      </w:r>
      <w:r>
        <w:rPr>
          <w:rFonts w:hint="default" w:ascii="Times New Roman" w:hAnsi="Times New Roman" w:eastAsia="仿宋_GB2312" w:cs="Times New Roman"/>
          <w:bCs/>
          <w:kern w:val="0"/>
          <w:sz w:val="32"/>
          <w:szCs w:val="32"/>
        </w:rPr>
        <w:t>万元，完成年初预算的</w:t>
      </w:r>
      <w:r>
        <w:rPr>
          <w:rFonts w:hint="default" w:ascii="Times New Roman" w:hAnsi="Times New Roman" w:eastAsia="仿宋_GB2312" w:cs="Times New Roman"/>
          <w:bCs/>
          <w:kern w:val="0"/>
          <w:sz w:val="32"/>
          <w:szCs w:val="32"/>
          <w:lang w:val="en-US" w:eastAsia="zh-CN"/>
        </w:rPr>
        <w:t>196.08</w:t>
      </w:r>
      <w:r>
        <w:rPr>
          <w:rFonts w:hint="default" w:ascii="Times New Roman" w:hAnsi="Times New Roman" w:eastAsia="仿宋_GB2312" w:cs="Times New Roman"/>
          <w:bCs/>
          <w:kern w:val="0"/>
          <w:sz w:val="32"/>
          <w:szCs w:val="32"/>
        </w:rPr>
        <w:t>%。决算数</w:t>
      </w:r>
      <w:r>
        <w:rPr>
          <w:rFonts w:hint="default" w:ascii="Times New Roman" w:hAnsi="Times New Roman" w:eastAsia="仿宋_GB2312" w:cs="Times New Roman"/>
          <w:bCs/>
          <w:kern w:val="0"/>
          <w:sz w:val="32"/>
          <w:szCs w:val="32"/>
          <w:lang w:eastAsia="zh-CN"/>
        </w:rPr>
        <w:t>大于</w:t>
      </w:r>
      <w:r>
        <w:rPr>
          <w:rFonts w:hint="default" w:ascii="Times New Roman" w:hAnsi="Times New Roman" w:eastAsia="仿宋_GB2312" w:cs="Times New Roman"/>
          <w:bCs/>
          <w:kern w:val="0"/>
          <w:sz w:val="32"/>
          <w:szCs w:val="32"/>
        </w:rPr>
        <w:t>预算数的主要原因</w:t>
      </w:r>
      <w:r>
        <w:rPr>
          <w:rFonts w:hint="default" w:ascii="Times New Roman" w:hAnsi="Times New Roman" w:eastAsia="仿宋_GB2312" w:cs="Times New Roman"/>
          <w:bCs/>
          <w:kern w:val="0"/>
          <w:sz w:val="32"/>
          <w:szCs w:val="32"/>
          <w:lang w:eastAsia="zh-CN"/>
        </w:rPr>
        <w:t>当年追加</w:t>
      </w:r>
      <w:r>
        <w:rPr>
          <w:rFonts w:hint="default" w:ascii="Times New Roman" w:hAnsi="Times New Roman" w:eastAsia="仿宋_GB2312" w:cs="Times New Roman"/>
          <w:bCs/>
          <w:kern w:val="0"/>
          <w:sz w:val="32"/>
          <w:szCs w:val="32"/>
          <w:lang w:val="en-US" w:eastAsia="zh-CN"/>
        </w:rPr>
        <w:t>2020年增人增资经费及绩效总量增减量补差。</w:t>
      </w:r>
    </w:p>
    <w:p>
      <w:pPr>
        <w:autoSpaceDE w:val="0"/>
        <w:autoSpaceDN w:val="0"/>
        <w:adjustRightInd w:val="0"/>
        <w:spacing w:line="580" w:lineRule="exact"/>
        <w:ind w:firstLine="643" w:firstLineChars="200"/>
        <w:jc w:val="left"/>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bCs w:val="0"/>
          <w:kern w:val="0"/>
          <w:sz w:val="32"/>
          <w:szCs w:val="32"/>
        </w:rPr>
        <w:t>六、2020年度一般公</w:t>
      </w:r>
      <w:r>
        <w:rPr>
          <w:rFonts w:hint="default" w:ascii="Times New Roman" w:hAnsi="Times New Roman" w:eastAsia="仿宋_GB2312" w:cs="Times New Roman"/>
          <w:b/>
          <w:kern w:val="0"/>
          <w:sz w:val="32"/>
          <w:szCs w:val="32"/>
        </w:rPr>
        <w:t>共预算财政拨款基本支出决算情况</w:t>
      </w:r>
    </w:p>
    <w:p>
      <w:pPr>
        <w:autoSpaceDE w:val="0"/>
        <w:autoSpaceDN w:val="0"/>
        <w:adjustRightInd w:val="0"/>
        <w:spacing w:line="580" w:lineRule="exact"/>
        <w:ind w:firstLine="640" w:firstLineChars="200"/>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2020年度财政拨款基本支出</w:t>
      </w:r>
      <w:r>
        <w:rPr>
          <w:rFonts w:hint="default" w:ascii="Times New Roman" w:hAnsi="Times New Roman" w:eastAsia="仿宋_GB2312" w:cs="Times New Roman"/>
          <w:bCs/>
          <w:kern w:val="0"/>
          <w:sz w:val="32"/>
          <w:szCs w:val="32"/>
          <w:lang w:val="en-US" w:eastAsia="zh-CN"/>
        </w:rPr>
        <w:t>30.17</w:t>
      </w:r>
      <w:r>
        <w:rPr>
          <w:rFonts w:hint="default" w:ascii="Times New Roman" w:hAnsi="Times New Roman" w:eastAsia="仿宋_GB2312" w:cs="Times New Roman"/>
          <w:bCs/>
          <w:kern w:val="0"/>
          <w:sz w:val="32"/>
          <w:szCs w:val="32"/>
        </w:rPr>
        <w:t>万元，其中：</w:t>
      </w:r>
    </w:p>
    <w:p>
      <w:pPr>
        <w:autoSpaceDE w:val="0"/>
        <w:autoSpaceDN w:val="0"/>
        <w:adjustRightInd w:val="0"/>
        <w:spacing w:line="580" w:lineRule="exact"/>
        <w:ind w:firstLine="640" w:firstLineChars="200"/>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人员经费</w:t>
      </w:r>
      <w:r>
        <w:rPr>
          <w:rFonts w:hint="default" w:ascii="Times New Roman" w:hAnsi="Times New Roman" w:eastAsia="仿宋_GB2312" w:cs="Times New Roman"/>
          <w:bCs/>
          <w:kern w:val="0"/>
          <w:sz w:val="32"/>
          <w:szCs w:val="32"/>
          <w:lang w:val="en-US" w:eastAsia="zh-CN"/>
        </w:rPr>
        <w:t>27.27</w:t>
      </w:r>
      <w:r>
        <w:rPr>
          <w:rFonts w:hint="default" w:ascii="Times New Roman" w:hAnsi="Times New Roman" w:eastAsia="仿宋_GB2312" w:cs="Times New Roman"/>
          <w:bCs/>
          <w:kern w:val="0"/>
          <w:sz w:val="32"/>
          <w:szCs w:val="32"/>
        </w:rPr>
        <w:t>万元，主要包括：基本工资、津贴补贴、 奖金、绩效工资、职工基本医疗保险缴费</w:t>
      </w:r>
      <w:r>
        <w:rPr>
          <w:rFonts w:hint="default" w:ascii="Times New Roman" w:hAnsi="Times New Roman"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机关事业单位基本养老保险缴费、职业年金缴费、其他社会保障缴费、住房公积金；</w:t>
      </w:r>
    </w:p>
    <w:p>
      <w:pPr>
        <w:autoSpaceDE w:val="0"/>
        <w:autoSpaceDN w:val="0"/>
        <w:adjustRightInd w:val="0"/>
        <w:spacing w:line="580" w:lineRule="exact"/>
        <w:ind w:firstLine="640" w:firstLineChars="200"/>
        <w:jc w:val="left"/>
        <w:rPr>
          <w:rFonts w:hint="default" w:ascii="Times New Roman" w:hAnsi="Times New Roman" w:eastAsia="仿宋_GB2312" w:cs="Times New Roman"/>
          <w:bCs/>
          <w:kern w:val="0"/>
          <w:sz w:val="32"/>
          <w:szCs w:val="32"/>
          <w:lang w:eastAsia="zh-CN"/>
        </w:rPr>
      </w:pPr>
      <w:r>
        <w:rPr>
          <w:rFonts w:hint="default" w:ascii="Times New Roman" w:hAnsi="Times New Roman" w:eastAsia="仿宋_GB2312" w:cs="Times New Roman"/>
          <w:bCs/>
          <w:kern w:val="0"/>
          <w:sz w:val="32"/>
          <w:szCs w:val="32"/>
        </w:rPr>
        <w:t>公用经费</w:t>
      </w:r>
      <w:r>
        <w:rPr>
          <w:rFonts w:hint="default" w:ascii="Times New Roman" w:hAnsi="Times New Roman" w:eastAsia="仿宋_GB2312" w:cs="Times New Roman"/>
          <w:bCs/>
          <w:kern w:val="0"/>
          <w:sz w:val="32"/>
          <w:szCs w:val="32"/>
          <w:lang w:val="en-US" w:eastAsia="zh-CN"/>
        </w:rPr>
        <w:t>2.9</w:t>
      </w:r>
      <w:r>
        <w:rPr>
          <w:rFonts w:hint="default" w:ascii="Times New Roman" w:hAnsi="Times New Roman" w:eastAsia="仿宋_GB2312" w:cs="Times New Roman"/>
          <w:bCs/>
          <w:kern w:val="0"/>
          <w:sz w:val="32"/>
          <w:szCs w:val="32"/>
        </w:rPr>
        <w:t>万元，主要包括：办公费、邮电费、差旅费、维 修（护）费、工会经费、其他商品和服务支出</w:t>
      </w:r>
      <w:r>
        <w:rPr>
          <w:rFonts w:hint="default" w:ascii="Times New Roman" w:hAnsi="Times New Roman" w:eastAsia="仿宋_GB2312" w:cs="Times New Roman"/>
          <w:bCs/>
          <w:kern w:val="0"/>
          <w:sz w:val="32"/>
          <w:szCs w:val="32"/>
          <w:lang w:eastAsia="zh-CN"/>
        </w:rPr>
        <w:t>；</w:t>
      </w:r>
    </w:p>
    <w:p>
      <w:pPr>
        <w:autoSpaceDE w:val="0"/>
        <w:autoSpaceDN w:val="0"/>
        <w:adjustRightInd w:val="0"/>
        <w:spacing w:line="580" w:lineRule="exact"/>
        <w:ind w:firstLine="643" w:firstLineChars="200"/>
        <w:jc w:val="left"/>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bCs w:val="0"/>
          <w:kern w:val="0"/>
          <w:sz w:val="32"/>
          <w:szCs w:val="32"/>
        </w:rPr>
        <w:t>七、2020 年度一</w:t>
      </w:r>
      <w:r>
        <w:rPr>
          <w:rFonts w:hint="default" w:ascii="Times New Roman" w:hAnsi="Times New Roman" w:eastAsia="仿宋_GB2312" w:cs="Times New Roman"/>
          <w:b/>
          <w:kern w:val="0"/>
          <w:sz w:val="32"/>
          <w:szCs w:val="32"/>
        </w:rPr>
        <w:t>般公共预算财政拨款“三公” 经费支出决算情况</w:t>
      </w:r>
    </w:p>
    <w:p>
      <w:pPr>
        <w:autoSpaceDE w:val="0"/>
        <w:autoSpaceDN w:val="0"/>
        <w:adjustRightInd w:val="0"/>
        <w:spacing w:line="580" w:lineRule="exact"/>
        <w:ind w:firstLine="640" w:firstLineChars="200"/>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hint="default" w:ascii="Times New Roman" w:hAnsi="Times New Roman" w:eastAsia="仿宋_GB2312" w:cs="Times New Roman"/>
          <w:bCs/>
          <w:kern w:val="0"/>
          <w:sz w:val="32"/>
          <w:szCs w:val="32"/>
          <w:lang w:val="en-US" w:eastAsia="zh-CN"/>
        </w:rPr>
      </w:pPr>
      <w:r>
        <w:rPr>
          <w:rFonts w:hint="default" w:ascii="Times New Roman" w:hAnsi="Times New Roman" w:eastAsia="仿宋_GB2312" w:cs="Times New Roman"/>
          <w:bCs/>
          <w:kern w:val="0"/>
          <w:sz w:val="32"/>
          <w:szCs w:val="32"/>
        </w:rPr>
        <w:t>2020 年度“三公”经费财政拨款支出预算为</w:t>
      </w:r>
      <w:r>
        <w:rPr>
          <w:rFonts w:hint="default" w:ascii="Times New Roman" w:hAnsi="Times New Roman" w:eastAsia="仿宋_GB2312" w:cs="Times New Roman"/>
          <w:bCs/>
          <w:kern w:val="0"/>
          <w:sz w:val="32"/>
          <w:szCs w:val="32"/>
          <w:lang w:val="en-US" w:eastAsia="zh-CN"/>
        </w:rPr>
        <w:t>0.11</w:t>
      </w:r>
      <w:r>
        <w:rPr>
          <w:rFonts w:hint="default" w:ascii="Times New Roman" w:hAnsi="Times New Roman" w:eastAsia="仿宋_GB2312" w:cs="Times New Roman"/>
          <w:bCs/>
          <w:kern w:val="0"/>
          <w:sz w:val="32"/>
          <w:szCs w:val="32"/>
        </w:rPr>
        <w:t>万元，支出决算为</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万元，完成预算的</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%，其中：因公出国（境）费支出决算为</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万元，完成预算的</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%；公务用车购置及运行费支出决算为</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万元，完成预算的</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%；公务接待费支出决算为</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万元，完成预算的</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%。2020年度“三公”经费支出决算数小于预算数的主要原因是认真贯彻落实中央“八项规定”精神和厉行节约要求，进一步从严控制“三公”经费开支，全年实际支出比预算有所节约</w:t>
      </w:r>
      <w:r>
        <w:rPr>
          <w:rFonts w:hint="default" w:ascii="Times New Roman" w:hAnsi="Times New Roman" w:eastAsia="仿宋_GB2312" w:cs="Times New Roman"/>
          <w:bCs/>
          <w:kern w:val="0"/>
          <w:sz w:val="32"/>
          <w:szCs w:val="32"/>
          <w:lang w:eastAsia="zh-CN"/>
        </w:rPr>
        <w:t>。</w:t>
      </w:r>
    </w:p>
    <w:p>
      <w:pPr>
        <w:autoSpaceDE w:val="0"/>
        <w:autoSpaceDN w:val="0"/>
        <w:adjustRightInd w:val="0"/>
        <w:spacing w:line="580" w:lineRule="exact"/>
        <w:ind w:firstLine="640" w:firstLineChars="200"/>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2020年度“三公”经费财政拨款支出决算数比2019年减少</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万元，下降</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%，其中：因公出国（境）费支出决 算减少</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万元，下降</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%；公务用车购置及运行费支出决算减少</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万元，下降</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%；公务接待费支出决算减少</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万元，下降</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w:t>
      </w:r>
    </w:p>
    <w:p>
      <w:pPr>
        <w:autoSpaceDE w:val="0"/>
        <w:autoSpaceDN w:val="0"/>
        <w:adjustRightInd w:val="0"/>
        <w:spacing w:line="580" w:lineRule="exact"/>
        <w:jc w:val="left"/>
        <w:rPr>
          <w:rFonts w:hint="default" w:ascii="Times New Roman" w:hAnsi="Times New Roman" w:eastAsia="仿宋_GB2312" w:cs="Times New Roman"/>
          <w:bCs/>
          <w:kern w:val="0"/>
          <w:sz w:val="32"/>
          <w:szCs w:val="32"/>
          <w:lang w:eastAsia="zh-CN"/>
        </w:rPr>
      </w:pPr>
      <w:r>
        <w:rPr>
          <w:rFonts w:hint="default" w:ascii="Times New Roman" w:hAnsi="Times New Roman" w:eastAsia="仿宋_GB2312" w:cs="Times New Roman"/>
          <w:bCs/>
          <w:kern w:val="0"/>
          <w:sz w:val="32"/>
          <w:szCs w:val="32"/>
        </w:rPr>
        <w:t xml:space="preserve">     因公出国（境）费支出</w:t>
      </w:r>
      <w:r>
        <w:rPr>
          <w:rFonts w:hint="default" w:ascii="Times New Roman" w:hAnsi="Times New Roman" w:eastAsia="仿宋_GB2312" w:cs="Times New Roman"/>
          <w:bCs/>
          <w:kern w:val="0"/>
          <w:sz w:val="32"/>
          <w:szCs w:val="32"/>
          <w:lang w:eastAsia="zh-CN"/>
        </w:rPr>
        <w:t>无变化</w:t>
      </w:r>
      <w:r>
        <w:rPr>
          <w:rFonts w:hint="default" w:ascii="Times New Roman" w:hAnsi="Times New Roman" w:eastAsia="仿宋_GB2312" w:cs="Times New Roman"/>
          <w:bCs/>
          <w:kern w:val="0"/>
          <w:sz w:val="32"/>
          <w:szCs w:val="32"/>
        </w:rPr>
        <w:t>；公务用车购置及运行费支出</w:t>
      </w:r>
      <w:r>
        <w:rPr>
          <w:rFonts w:hint="default" w:ascii="Times New Roman" w:hAnsi="Times New Roman" w:eastAsia="仿宋_GB2312" w:cs="Times New Roman"/>
          <w:bCs/>
          <w:kern w:val="0"/>
          <w:sz w:val="32"/>
          <w:szCs w:val="32"/>
          <w:lang w:eastAsia="zh-CN"/>
        </w:rPr>
        <w:t>无变化</w:t>
      </w:r>
      <w:r>
        <w:rPr>
          <w:rFonts w:hint="default" w:ascii="Times New Roman" w:hAnsi="Times New Roman" w:eastAsia="仿宋_GB2312" w:cs="Times New Roman"/>
          <w:bCs/>
          <w:kern w:val="0"/>
          <w:sz w:val="32"/>
          <w:szCs w:val="32"/>
        </w:rPr>
        <w:t>；公务接待费支出</w:t>
      </w:r>
      <w:r>
        <w:rPr>
          <w:rFonts w:hint="default" w:ascii="Times New Roman" w:hAnsi="Times New Roman" w:eastAsia="仿宋_GB2312" w:cs="Times New Roman"/>
          <w:bCs/>
          <w:kern w:val="0"/>
          <w:sz w:val="32"/>
          <w:szCs w:val="32"/>
          <w:lang w:eastAsia="zh-CN"/>
        </w:rPr>
        <w:t>无变化。</w:t>
      </w:r>
    </w:p>
    <w:p>
      <w:pPr>
        <w:autoSpaceDE w:val="0"/>
        <w:autoSpaceDN w:val="0"/>
        <w:adjustRightInd w:val="0"/>
        <w:spacing w:line="580" w:lineRule="exact"/>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 xml:space="preserve">    （二）“三公”经费财政拨款支出决算具体情况</w:t>
      </w:r>
    </w:p>
    <w:p>
      <w:pPr>
        <w:autoSpaceDE w:val="0"/>
        <w:autoSpaceDN w:val="0"/>
        <w:adjustRightInd w:val="0"/>
        <w:spacing w:line="580" w:lineRule="exact"/>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 xml:space="preserve">     2020年度“三公”经费财政拨款支出决算中，因公出国（境）费支出决算</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万元，占</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%；公务用车购置及运行费 支出决算</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万元，占</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%；公务接待费支出决算</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万元，占</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 xml:space="preserve">%。具体情况如下：  </w:t>
      </w:r>
    </w:p>
    <w:p>
      <w:pPr>
        <w:numPr>
          <w:ilvl w:val="0"/>
          <w:numId w:val="0"/>
        </w:numPr>
        <w:autoSpaceDE w:val="0"/>
        <w:autoSpaceDN w:val="0"/>
        <w:adjustRightInd w:val="0"/>
        <w:spacing w:line="580" w:lineRule="exact"/>
        <w:ind w:firstLine="640" w:firstLineChars="200"/>
        <w:jc w:val="left"/>
        <w:rPr>
          <w:rFonts w:hint="default" w:ascii="Times New Roman" w:hAnsi="Times New Roman" w:eastAsia="仿宋_GB2312" w:cs="Times New Roman"/>
          <w:bCs/>
          <w:kern w:val="0"/>
          <w:sz w:val="32"/>
          <w:szCs w:val="32"/>
        </w:rPr>
      </w:pPr>
      <w:r>
        <w:rPr>
          <w:rFonts w:hint="eastAsia" w:eastAsia="仿宋_GB2312" w:cs="Times New Roman"/>
          <w:bCs/>
          <w:kern w:val="0"/>
          <w:sz w:val="32"/>
          <w:szCs w:val="32"/>
          <w:lang w:val="en-US" w:eastAsia="zh-CN"/>
        </w:rPr>
        <w:t>1.</w:t>
      </w:r>
      <w:r>
        <w:rPr>
          <w:rFonts w:hint="default" w:ascii="Times New Roman" w:hAnsi="Times New Roman" w:eastAsia="仿宋_GB2312" w:cs="Times New Roman"/>
          <w:bCs/>
          <w:kern w:val="0"/>
          <w:sz w:val="32"/>
          <w:szCs w:val="32"/>
        </w:rPr>
        <w:t>因公出国（境）费支出</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万元。全年安排机关和所属单位因公出国（境）团组</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个，累计</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人次。</w:t>
      </w:r>
    </w:p>
    <w:p>
      <w:pPr>
        <w:autoSpaceDE w:val="0"/>
        <w:autoSpaceDN w:val="0"/>
        <w:adjustRightInd w:val="0"/>
        <w:spacing w:line="580" w:lineRule="exact"/>
        <w:ind w:firstLine="640" w:firstLineChars="200"/>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lang w:val="en-US" w:eastAsia="zh-CN"/>
        </w:rPr>
        <w:t>2.</w:t>
      </w:r>
      <w:r>
        <w:rPr>
          <w:rFonts w:hint="default" w:ascii="Times New Roman" w:hAnsi="Times New Roman" w:eastAsia="仿宋_GB2312" w:cs="Times New Roman"/>
          <w:bCs/>
          <w:kern w:val="0"/>
          <w:sz w:val="32"/>
          <w:szCs w:val="32"/>
        </w:rPr>
        <w:t>公务用车购置及运行费支出</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万元。其中： 公务用车购置支出为</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万元。公务用车运行支出</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万元。2020年，机关所属单位开支财政拨款的公务用车保有量为</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辆。</w:t>
      </w:r>
    </w:p>
    <w:p>
      <w:pPr>
        <w:autoSpaceDE w:val="0"/>
        <w:autoSpaceDN w:val="0"/>
        <w:adjustRightInd w:val="0"/>
        <w:spacing w:line="580" w:lineRule="exact"/>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 xml:space="preserve">    3.公务接待费支出</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万元。其中：</w:t>
      </w:r>
    </w:p>
    <w:p>
      <w:pPr>
        <w:autoSpaceDE w:val="0"/>
        <w:autoSpaceDN w:val="0"/>
        <w:adjustRightInd w:val="0"/>
        <w:spacing w:line="580" w:lineRule="exact"/>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 xml:space="preserve">    外宾接待支出</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万元。2020 年共接待国（境）外来访团组</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个、来访外宾</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人次。</w:t>
      </w:r>
    </w:p>
    <w:p>
      <w:pPr>
        <w:autoSpaceDE w:val="0"/>
        <w:autoSpaceDN w:val="0"/>
        <w:adjustRightInd w:val="0"/>
        <w:spacing w:line="580" w:lineRule="exact"/>
        <w:jc w:val="left"/>
        <w:rPr>
          <w:rFonts w:hint="default" w:ascii="Times New Roman" w:hAnsi="Times New Roman" w:eastAsia="仿宋_GB2312" w:cs="Times New Roman"/>
          <w:bCs/>
          <w:kern w:val="0"/>
          <w:sz w:val="32"/>
          <w:szCs w:val="32"/>
          <w:lang w:eastAsia="zh-CN"/>
        </w:rPr>
      </w:pPr>
      <w:r>
        <w:rPr>
          <w:rFonts w:hint="default" w:ascii="Times New Roman" w:hAnsi="Times New Roman" w:eastAsia="仿宋_GB2312" w:cs="Times New Roman"/>
          <w:bCs/>
          <w:kern w:val="0"/>
          <w:sz w:val="32"/>
          <w:szCs w:val="32"/>
        </w:rPr>
        <w:t xml:space="preserve">    国内公务接待支出</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万元。2020 年共接待国内来访团组</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个、来宾</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人次</w:t>
      </w:r>
      <w:r>
        <w:rPr>
          <w:rFonts w:hint="default" w:ascii="Times New Roman" w:hAnsi="Times New Roman" w:eastAsia="仿宋_GB2312" w:cs="Times New Roman"/>
          <w:bCs/>
          <w:kern w:val="0"/>
          <w:sz w:val="32"/>
          <w:szCs w:val="32"/>
          <w:lang w:eastAsia="zh-CN"/>
        </w:rPr>
        <w:t>。</w:t>
      </w:r>
    </w:p>
    <w:p>
      <w:pPr>
        <w:autoSpaceDE w:val="0"/>
        <w:autoSpaceDN w:val="0"/>
        <w:adjustRightInd w:val="0"/>
        <w:spacing w:line="580" w:lineRule="exact"/>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
          <w:kern w:val="0"/>
          <w:sz w:val="32"/>
          <w:szCs w:val="32"/>
          <w:highlight w:val="none"/>
          <w:lang w:eastAsia="zh-CN"/>
        </w:rPr>
        <w:t xml:space="preserve">   </w:t>
      </w:r>
      <w:r>
        <w:rPr>
          <w:rFonts w:hint="default" w:ascii="Times New Roman" w:hAnsi="Times New Roman" w:eastAsia="仿宋_GB2312" w:cs="Times New Roman"/>
          <w:b/>
          <w:kern w:val="0"/>
          <w:sz w:val="32"/>
          <w:szCs w:val="32"/>
          <w:highlight w:val="none"/>
          <w:lang w:val="en-US" w:eastAsia="zh-CN"/>
        </w:rPr>
        <w:t xml:space="preserve"> </w:t>
      </w:r>
      <w:r>
        <w:rPr>
          <w:rFonts w:hint="default" w:ascii="Times New Roman" w:hAnsi="Times New Roman" w:eastAsia="仿宋_GB2312" w:cs="Times New Roman"/>
          <w:b/>
          <w:kern w:val="0"/>
          <w:sz w:val="32"/>
          <w:szCs w:val="32"/>
          <w:highlight w:val="none"/>
          <w:lang w:eastAsia="zh-CN"/>
        </w:rPr>
        <w:t>八、2020 年度政</w:t>
      </w:r>
      <w:r>
        <w:rPr>
          <w:rFonts w:hint="default" w:ascii="Times New Roman" w:hAnsi="Times New Roman" w:eastAsia="仿宋_GB2312" w:cs="Times New Roman"/>
          <w:b/>
          <w:kern w:val="0"/>
          <w:sz w:val="32"/>
          <w:szCs w:val="32"/>
        </w:rPr>
        <w:t xml:space="preserve">府性基金预算财政拨款收入支出决算情况说明 </w:t>
      </w: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bCs/>
          <w:kern w:val="0"/>
          <w:sz w:val="32"/>
          <w:szCs w:val="32"/>
        </w:rPr>
        <w:t xml:space="preserve">    </w:t>
      </w:r>
      <w:r>
        <w:rPr>
          <w:rFonts w:hint="default" w:ascii="Times New Roman" w:hAnsi="Times New Roman" w:eastAsia="仿宋_GB2312" w:cs="Times New Roman"/>
          <w:bCs/>
          <w:kern w:val="0"/>
          <w:sz w:val="32"/>
          <w:szCs w:val="32"/>
          <w:highlight w:val="none"/>
        </w:rPr>
        <w:t>本</w:t>
      </w:r>
      <w:r>
        <w:rPr>
          <w:rFonts w:hint="eastAsia" w:eastAsia="仿宋_GB2312" w:cs="Times New Roman"/>
          <w:bCs/>
          <w:kern w:val="0"/>
          <w:sz w:val="32"/>
          <w:szCs w:val="32"/>
          <w:highlight w:val="none"/>
          <w:lang w:eastAsia="zh-CN"/>
        </w:rPr>
        <w:t>单位</w:t>
      </w:r>
      <w:r>
        <w:rPr>
          <w:rFonts w:hint="default" w:ascii="Times New Roman" w:hAnsi="Times New Roman" w:eastAsia="仿宋_GB2312" w:cs="Times New Roman"/>
          <w:bCs/>
          <w:kern w:val="0"/>
          <w:sz w:val="32"/>
          <w:szCs w:val="32"/>
          <w:highlight w:val="none"/>
        </w:rPr>
        <w:t xml:space="preserve">2020年度政府基金预算财政拨款收、支总决算 </w:t>
      </w:r>
      <w:r>
        <w:rPr>
          <w:rFonts w:hint="default" w:ascii="Times New Roman" w:hAnsi="Times New Roman" w:eastAsia="仿宋_GB2312" w:cs="Times New Roman"/>
          <w:bCs/>
          <w:kern w:val="0"/>
          <w:sz w:val="32"/>
          <w:szCs w:val="32"/>
          <w:highlight w:val="none"/>
          <w:lang w:val="en-US" w:eastAsia="zh-CN"/>
        </w:rPr>
        <w:t>0</w:t>
      </w:r>
      <w:r>
        <w:rPr>
          <w:rFonts w:hint="default" w:ascii="Times New Roman" w:hAnsi="Times New Roman" w:eastAsia="仿宋_GB2312" w:cs="Times New Roman"/>
          <w:bCs/>
          <w:kern w:val="0"/>
          <w:sz w:val="32"/>
          <w:szCs w:val="32"/>
          <w:highlight w:val="none"/>
        </w:rPr>
        <w:t>万元、</w:t>
      </w:r>
      <w:r>
        <w:rPr>
          <w:rFonts w:hint="default" w:ascii="Times New Roman" w:hAnsi="Times New Roman" w:eastAsia="仿宋_GB2312" w:cs="Times New Roman"/>
          <w:bCs/>
          <w:kern w:val="0"/>
          <w:sz w:val="32"/>
          <w:szCs w:val="32"/>
          <w:highlight w:val="none"/>
          <w:lang w:val="en-US" w:eastAsia="zh-CN"/>
        </w:rPr>
        <w:t>0</w:t>
      </w:r>
      <w:r>
        <w:rPr>
          <w:rFonts w:hint="default" w:ascii="Times New Roman" w:hAnsi="Times New Roman" w:eastAsia="仿宋_GB2312" w:cs="Times New Roman"/>
          <w:bCs/>
          <w:kern w:val="0"/>
          <w:sz w:val="32"/>
          <w:szCs w:val="32"/>
          <w:highlight w:val="none"/>
        </w:rPr>
        <w:t>万元。与 2019 年相比，收、支总计各增加</w:t>
      </w:r>
      <w:r>
        <w:rPr>
          <w:rFonts w:hint="default" w:ascii="Times New Roman" w:hAnsi="Times New Roman" w:eastAsia="仿宋_GB2312" w:cs="Times New Roman"/>
          <w:bCs/>
          <w:kern w:val="0"/>
          <w:sz w:val="32"/>
          <w:szCs w:val="32"/>
          <w:highlight w:val="none"/>
          <w:lang w:val="en-US" w:eastAsia="zh-CN"/>
        </w:rPr>
        <w:t>0</w:t>
      </w:r>
      <w:r>
        <w:rPr>
          <w:rFonts w:hint="default" w:ascii="Times New Roman" w:hAnsi="Times New Roman" w:eastAsia="仿宋_GB2312" w:cs="Times New Roman"/>
          <w:bCs/>
          <w:kern w:val="0"/>
          <w:sz w:val="32"/>
          <w:szCs w:val="32"/>
          <w:highlight w:val="none"/>
        </w:rPr>
        <w:t>万元，增长</w:t>
      </w:r>
      <w:r>
        <w:rPr>
          <w:rFonts w:hint="default" w:ascii="Times New Roman" w:hAnsi="Times New Roman" w:eastAsia="仿宋_GB2312" w:cs="Times New Roman"/>
          <w:bCs/>
          <w:kern w:val="0"/>
          <w:sz w:val="32"/>
          <w:szCs w:val="32"/>
          <w:highlight w:val="none"/>
          <w:lang w:val="en-US" w:eastAsia="zh-CN"/>
        </w:rPr>
        <w:t>0</w:t>
      </w:r>
      <w:r>
        <w:rPr>
          <w:rFonts w:hint="default" w:ascii="Times New Roman" w:hAnsi="Times New Roman" w:eastAsia="仿宋_GB2312" w:cs="Times New Roman"/>
          <w:bCs/>
          <w:kern w:val="0"/>
          <w:sz w:val="32"/>
          <w:szCs w:val="32"/>
          <w:highlight w:val="none"/>
        </w:rPr>
        <w:t>%。</w:t>
      </w:r>
    </w:p>
    <w:p>
      <w:pPr>
        <w:numPr>
          <w:ilvl w:val="0"/>
          <w:numId w:val="2"/>
        </w:numPr>
        <w:autoSpaceDE w:val="0"/>
        <w:autoSpaceDN w:val="0"/>
        <w:adjustRightInd w:val="0"/>
        <w:spacing w:line="580" w:lineRule="exact"/>
        <w:ind w:firstLine="643" w:firstLineChars="200"/>
        <w:jc w:val="left"/>
        <w:rPr>
          <w:rFonts w:hint="default" w:ascii="Times New Roman" w:hAnsi="Times New Roman" w:eastAsia="仿宋_GB2312" w:cs="Times New Roman"/>
          <w:b/>
          <w:kern w:val="0"/>
          <w:sz w:val="32"/>
          <w:szCs w:val="32"/>
          <w:highlight w:val="none"/>
          <w:lang w:eastAsia="zh-CN"/>
        </w:rPr>
      </w:pPr>
      <w:r>
        <w:rPr>
          <w:rFonts w:hint="default" w:ascii="Times New Roman" w:hAnsi="Times New Roman" w:eastAsia="仿宋_GB2312" w:cs="Times New Roman"/>
          <w:b/>
          <w:kern w:val="0"/>
          <w:sz w:val="32"/>
          <w:szCs w:val="32"/>
          <w:highlight w:val="none"/>
          <w:lang w:eastAsia="zh-CN"/>
        </w:rPr>
        <w:t>国有资本经营预算财政拨款支出情况说明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3" w:firstLineChars="200"/>
        <w:jc w:val="left"/>
        <w:textAlignment w:val="auto"/>
        <w:rPr>
          <w:rFonts w:hint="default" w:ascii="Times New Roman" w:hAnsi="Times New Roman" w:eastAsia="仿宋_GB2312" w:cs="Times New Roman"/>
          <w:b w:val="0"/>
          <w:bCs/>
          <w:kern w:val="0"/>
          <w:sz w:val="32"/>
          <w:szCs w:val="32"/>
          <w:highlight w:val="none"/>
          <w:lang w:val="en-US" w:eastAsia="zh-CN"/>
        </w:rPr>
      </w:pPr>
      <w:r>
        <w:rPr>
          <w:rFonts w:hint="default" w:ascii="Times New Roman" w:hAnsi="Times New Roman" w:eastAsia="仿宋_GB2312" w:cs="Times New Roman"/>
          <w:b/>
          <w:kern w:val="0"/>
          <w:sz w:val="32"/>
          <w:szCs w:val="32"/>
          <w:highlight w:val="none"/>
          <w:lang w:val="en-US" w:eastAsia="zh-CN"/>
        </w:rPr>
        <w:t xml:space="preserve"> </w:t>
      </w:r>
      <w:r>
        <w:rPr>
          <w:rFonts w:hint="default" w:ascii="Times New Roman" w:hAnsi="Times New Roman" w:eastAsia="仿宋_GB2312" w:cs="Times New Roman"/>
          <w:b w:val="0"/>
          <w:bCs/>
          <w:kern w:val="0"/>
          <w:sz w:val="32"/>
          <w:szCs w:val="32"/>
          <w:highlight w:val="none"/>
          <w:lang w:val="en-US" w:eastAsia="zh-CN"/>
        </w:rPr>
        <w:t>2020年度国有资本经营预算财政拨款本年支出0万元。</w:t>
      </w:r>
    </w:p>
    <w:p>
      <w:pPr>
        <w:autoSpaceDE w:val="0"/>
        <w:autoSpaceDN w:val="0"/>
        <w:adjustRightInd w:val="0"/>
        <w:spacing w:line="580" w:lineRule="exact"/>
        <w:ind w:firstLine="643" w:firstLineChars="200"/>
        <w:jc w:val="left"/>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lang w:eastAsia="zh-CN"/>
        </w:rPr>
        <w:t>十、</w:t>
      </w:r>
      <w:r>
        <w:rPr>
          <w:rFonts w:hint="default" w:ascii="Times New Roman" w:hAnsi="Times New Roman" w:eastAsia="仿宋_GB2312" w:cs="Times New Roman"/>
          <w:b/>
          <w:kern w:val="0"/>
          <w:sz w:val="32"/>
          <w:szCs w:val="32"/>
        </w:rPr>
        <w:t>2020 年度预算绩效情况说明</w:t>
      </w:r>
    </w:p>
    <w:p>
      <w:pPr>
        <w:numPr>
          <w:ilvl w:val="0"/>
          <w:numId w:val="3"/>
        </w:numPr>
        <w:autoSpaceDE w:val="0"/>
        <w:autoSpaceDN w:val="0"/>
        <w:adjustRightInd w:val="0"/>
        <w:spacing w:line="580" w:lineRule="exact"/>
        <w:ind w:firstLine="640" w:firstLineChars="200"/>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绩效管理工作开展情况</w:t>
      </w:r>
    </w:p>
    <w:p>
      <w:pPr>
        <w:autoSpaceDE w:val="0"/>
        <w:autoSpaceDN w:val="0"/>
        <w:adjustRightInd w:val="0"/>
        <w:spacing w:line="580" w:lineRule="exact"/>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 xml:space="preserve">    根据财政预算管理要求，我</w:t>
      </w:r>
      <w:r>
        <w:rPr>
          <w:rFonts w:hint="default" w:ascii="Times New Roman" w:hAnsi="Times New Roman" w:eastAsia="仿宋_GB2312" w:cs="Times New Roman"/>
          <w:bCs/>
          <w:kern w:val="0"/>
          <w:sz w:val="32"/>
          <w:szCs w:val="32"/>
          <w:lang w:eastAsia="zh-CN"/>
        </w:rPr>
        <w:t>单位</w:t>
      </w:r>
      <w:r>
        <w:rPr>
          <w:rFonts w:hint="default" w:ascii="Times New Roman" w:hAnsi="Times New Roman" w:eastAsia="仿宋_GB2312" w:cs="Times New Roman"/>
          <w:bCs/>
          <w:kern w:val="0"/>
          <w:sz w:val="32"/>
          <w:szCs w:val="32"/>
        </w:rPr>
        <w:t>组织对2020年度一般公共预算项目支出全面开展绩效自评。</w:t>
      </w:r>
      <w:r>
        <w:rPr>
          <w:rFonts w:hint="default" w:ascii="Times New Roman" w:hAnsi="Times New Roman" w:eastAsia="仿宋_GB2312" w:cs="Times New Roman"/>
          <w:bCs/>
          <w:kern w:val="0"/>
          <w:sz w:val="32"/>
          <w:szCs w:val="32"/>
          <w:lang w:eastAsia="zh-CN"/>
        </w:rPr>
        <w:t>本单位为整体支出绩效</w:t>
      </w:r>
      <w:r>
        <w:rPr>
          <w:rFonts w:hint="default" w:ascii="Times New Roman" w:hAnsi="Times New Roman" w:eastAsia="仿宋_GB2312" w:cs="Times New Roman"/>
          <w:bCs/>
          <w:kern w:val="0"/>
          <w:sz w:val="32"/>
          <w:szCs w:val="32"/>
        </w:rPr>
        <w:t>，共涉及预算资金</w:t>
      </w:r>
      <w:r>
        <w:rPr>
          <w:rFonts w:hint="default" w:ascii="Times New Roman" w:hAnsi="Times New Roman" w:eastAsia="仿宋_GB2312" w:cs="Times New Roman"/>
          <w:bCs/>
          <w:kern w:val="0"/>
          <w:sz w:val="32"/>
          <w:szCs w:val="32"/>
          <w:lang w:val="en-US" w:eastAsia="zh-CN"/>
        </w:rPr>
        <w:t>58.54</w:t>
      </w:r>
      <w:r>
        <w:rPr>
          <w:rFonts w:hint="default" w:ascii="Times New Roman" w:hAnsi="Times New Roman" w:eastAsia="仿宋_GB2312" w:cs="Times New Roman"/>
          <w:bCs/>
          <w:kern w:val="0"/>
          <w:sz w:val="32"/>
          <w:szCs w:val="32"/>
        </w:rPr>
        <w:t>万元，自评覆盖率达到</w:t>
      </w:r>
      <w:r>
        <w:rPr>
          <w:rFonts w:hint="default" w:ascii="Times New Roman" w:hAnsi="Times New Roman" w:eastAsia="仿宋_GB2312" w:cs="Times New Roman"/>
          <w:bCs/>
          <w:kern w:val="0"/>
          <w:sz w:val="32"/>
          <w:szCs w:val="32"/>
          <w:lang w:val="en-US" w:eastAsia="zh-CN"/>
        </w:rPr>
        <w:t>100</w:t>
      </w:r>
      <w:r>
        <w:rPr>
          <w:rFonts w:hint="default" w:ascii="Times New Roman" w:hAnsi="Times New Roman" w:eastAsia="仿宋_GB2312" w:cs="Times New Roman"/>
          <w:bCs/>
          <w:kern w:val="0"/>
          <w:sz w:val="32"/>
          <w:szCs w:val="32"/>
        </w:rPr>
        <w:t>%）</w:t>
      </w:r>
    </w:p>
    <w:p>
      <w:pPr>
        <w:numPr>
          <w:ilvl w:val="0"/>
          <w:numId w:val="3"/>
        </w:numPr>
        <w:autoSpaceDE w:val="0"/>
        <w:autoSpaceDN w:val="0"/>
        <w:adjustRightInd w:val="0"/>
        <w:spacing w:line="580" w:lineRule="exact"/>
        <w:ind w:left="0" w:leftChars="0" w:firstLine="640" w:firstLineChars="200"/>
        <w:jc w:val="left"/>
        <w:rPr>
          <w:rFonts w:hint="default" w:ascii="Times New Roman" w:hAnsi="Times New Roman" w:eastAsia="仿宋_GB2312" w:cs="Times New Roman"/>
          <w:bCs/>
          <w:kern w:val="0"/>
          <w:sz w:val="32"/>
          <w:szCs w:val="32"/>
        </w:rPr>
      </w:pPr>
      <w:r>
        <w:rPr>
          <w:rFonts w:hint="eastAsia" w:eastAsia="仿宋_GB2312" w:cs="Times New Roman"/>
          <w:bCs/>
          <w:kern w:val="0"/>
          <w:sz w:val="32"/>
          <w:szCs w:val="32"/>
          <w:lang w:eastAsia="zh-CN"/>
        </w:rPr>
        <w:t>单位</w:t>
      </w:r>
      <w:r>
        <w:rPr>
          <w:rFonts w:hint="default" w:ascii="Times New Roman" w:hAnsi="Times New Roman" w:eastAsia="仿宋_GB2312" w:cs="Times New Roman"/>
          <w:bCs/>
          <w:kern w:val="0"/>
          <w:sz w:val="32"/>
          <w:szCs w:val="32"/>
        </w:rPr>
        <w:t>决算中项目绩效自评结果。</w:t>
      </w:r>
    </w:p>
    <w:p>
      <w:pPr>
        <w:numPr>
          <w:ilvl w:val="0"/>
          <w:numId w:val="0"/>
        </w:numPr>
        <w:autoSpaceDE w:val="0"/>
        <w:autoSpaceDN w:val="0"/>
        <w:adjustRightInd w:val="0"/>
        <w:spacing w:line="580" w:lineRule="exact"/>
        <w:ind w:leftChars="200"/>
        <w:jc w:val="left"/>
        <w:rPr>
          <w:rFonts w:hint="default" w:ascii="Times New Roman" w:hAnsi="Times New Roman" w:eastAsia="仿宋_GB2312" w:cs="Times New Roman"/>
          <w:bCs/>
          <w:kern w:val="0"/>
          <w:sz w:val="32"/>
          <w:szCs w:val="32"/>
          <w:lang w:val="en-US" w:eastAsia="zh-CN"/>
        </w:rPr>
      </w:pPr>
      <w:r>
        <w:rPr>
          <w:rFonts w:hint="default" w:ascii="Times New Roman" w:hAnsi="Times New Roman" w:eastAsia="仿宋_GB2312" w:cs="Times New Roman"/>
          <w:bCs/>
          <w:kern w:val="0"/>
          <w:sz w:val="32"/>
          <w:szCs w:val="32"/>
          <w:lang w:val="en-US" w:eastAsia="zh-CN"/>
        </w:rPr>
        <w:t xml:space="preserve">  </w:t>
      </w:r>
      <w:r>
        <w:rPr>
          <w:rFonts w:hint="default" w:ascii="Times New Roman" w:hAnsi="Times New Roman" w:eastAsia="仿宋_GB2312" w:cs="Times New Roman"/>
          <w:bCs/>
          <w:kern w:val="0"/>
          <w:sz w:val="32"/>
          <w:szCs w:val="32"/>
          <w:lang w:eastAsia="zh-CN"/>
        </w:rPr>
        <w:t>我单位无项目绩效。</w:t>
      </w:r>
    </w:p>
    <w:p>
      <w:pPr>
        <w:autoSpaceDE w:val="0"/>
        <w:autoSpaceDN w:val="0"/>
        <w:adjustRightInd w:val="0"/>
        <w:spacing w:line="580" w:lineRule="exact"/>
        <w:ind w:firstLine="643" w:firstLineChars="200"/>
        <w:jc w:val="left"/>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十</w:t>
      </w:r>
      <w:r>
        <w:rPr>
          <w:rFonts w:hint="default" w:ascii="Times New Roman" w:hAnsi="Times New Roman" w:eastAsia="仿宋_GB2312" w:cs="Times New Roman"/>
          <w:b/>
          <w:kern w:val="0"/>
          <w:sz w:val="32"/>
          <w:szCs w:val="32"/>
          <w:lang w:eastAsia="zh-CN"/>
        </w:rPr>
        <w:t>一</w:t>
      </w:r>
      <w:r>
        <w:rPr>
          <w:rFonts w:hint="default" w:ascii="Times New Roman" w:hAnsi="Times New Roman" w:eastAsia="仿宋_GB2312" w:cs="Times New Roman"/>
          <w:b/>
          <w:kern w:val="0"/>
          <w:sz w:val="32"/>
          <w:szCs w:val="32"/>
        </w:rPr>
        <w:t>、其他重要事项的情况</w:t>
      </w:r>
    </w:p>
    <w:p>
      <w:pPr>
        <w:autoSpaceDE w:val="0"/>
        <w:autoSpaceDN w:val="0"/>
        <w:adjustRightInd w:val="0"/>
        <w:spacing w:line="58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（一）机关运行经费支出情况。2020年度</w:t>
      </w:r>
      <w:r>
        <w:rPr>
          <w:rFonts w:hint="eastAsia" w:eastAsia="仿宋_GB2312" w:cs="Times New Roman"/>
          <w:kern w:val="0"/>
          <w:sz w:val="32"/>
          <w:szCs w:val="32"/>
          <w:lang w:eastAsia="zh-CN"/>
        </w:rPr>
        <w:t>单位</w:t>
      </w:r>
      <w:r>
        <w:rPr>
          <w:rFonts w:hint="default" w:ascii="Times New Roman" w:hAnsi="Times New Roman" w:eastAsia="仿宋_GB2312" w:cs="Times New Roman"/>
          <w:kern w:val="0"/>
          <w:sz w:val="32"/>
          <w:szCs w:val="32"/>
        </w:rPr>
        <w:t>机关运行经费支出</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 xml:space="preserve">万元，比 2019年增加 </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万元，增长</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 xml:space="preserve"> %。</w:t>
      </w:r>
    </w:p>
    <w:p>
      <w:pPr>
        <w:autoSpaceDE w:val="0"/>
        <w:autoSpaceDN w:val="0"/>
        <w:adjustRightInd w:val="0"/>
        <w:spacing w:line="58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（二）政府采购支出情况。2020年度</w:t>
      </w:r>
      <w:r>
        <w:rPr>
          <w:rFonts w:hint="eastAsia" w:eastAsia="仿宋_GB2312" w:cs="Times New Roman"/>
          <w:kern w:val="0"/>
          <w:sz w:val="32"/>
          <w:szCs w:val="32"/>
          <w:lang w:eastAsia="zh-CN"/>
        </w:rPr>
        <w:t>单位</w:t>
      </w:r>
      <w:r>
        <w:rPr>
          <w:rFonts w:hint="default" w:ascii="Times New Roman" w:hAnsi="Times New Roman" w:eastAsia="仿宋_GB2312" w:cs="Times New Roman"/>
          <w:kern w:val="0"/>
          <w:sz w:val="32"/>
          <w:szCs w:val="32"/>
        </w:rPr>
        <w:t>政府采购支出总额</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万元，其中：货物支出</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万元、工程支出</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万元、服务支出</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w:t>
      </w:r>
    </w:p>
    <w:p>
      <w:pPr>
        <w:autoSpaceDE w:val="0"/>
        <w:autoSpaceDN w:val="0"/>
        <w:adjustRightInd w:val="0"/>
        <w:spacing w:line="580" w:lineRule="exact"/>
        <w:ind w:firstLine="627" w:firstLineChars="196"/>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（三）国有资产占用情况。截至年末</w:t>
      </w:r>
      <w:r>
        <w:rPr>
          <w:rFonts w:hint="eastAsia" w:eastAsia="仿宋_GB2312" w:cs="Times New Roman"/>
          <w:kern w:val="0"/>
          <w:sz w:val="32"/>
          <w:szCs w:val="32"/>
          <w:lang w:eastAsia="zh-CN"/>
        </w:rPr>
        <w:t>单位</w:t>
      </w:r>
      <w:r>
        <w:rPr>
          <w:rFonts w:hint="default" w:ascii="Times New Roman" w:hAnsi="Times New Roman" w:eastAsia="仿宋_GB2312" w:cs="Times New Roman"/>
          <w:kern w:val="0"/>
          <w:sz w:val="32"/>
          <w:szCs w:val="32"/>
        </w:rPr>
        <w:t>共有车辆</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辆，其中：公务用车</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辆；执法执勤用车</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辆；专业技术用车</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辆；单价50万元 以上通用设备</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台（套），单价100 万元以上专用设备</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 xml:space="preserve">台（套）。 </w:t>
      </w:r>
    </w:p>
    <w:p>
      <w:pPr>
        <w:spacing w:line="580"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第四部分：名词解释</w:t>
      </w:r>
    </w:p>
    <w:p>
      <w:pPr>
        <w:numPr>
          <w:ilvl w:val="0"/>
          <w:numId w:val="4"/>
        </w:numPr>
        <w:spacing w:line="580" w:lineRule="exact"/>
        <w:ind w:firstLine="645"/>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财政拨款收入：指市本级财政当年拨付的资金。</w:t>
      </w:r>
    </w:p>
    <w:p>
      <w:pPr>
        <w:numPr>
          <w:ilvl w:val="0"/>
          <w:numId w:val="4"/>
        </w:numPr>
        <w:spacing w:line="580" w:lineRule="exact"/>
        <w:ind w:firstLine="645"/>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事业收入：指事业单位开展专业活动用辅助活动所取得的收入。如：......</w:t>
      </w:r>
    </w:p>
    <w:p>
      <w:pPr>
        <w:numPr>
          <w:ilvl w:val="0"/>
          <w:numId w:val="4"/>
        </w:numPr>
        <w:spacing w:line="580" w:lineRule="exact"/>
        <w:ind w:firstLine="645"/>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经营收入：指事业单位在专业业务活动及辅助活动之外开展非独立核算经营活动取得的收入。</w:t>
      </w:r>
    </w:p>
    <w:p>
      <w:pPr>
        <w:numPr>
          <w:ilvl w:val="0"/>
          <w:numId w:val="4"/>
        </w:numPr>
        <w:spacing w:line="580" w:lineRule="exact"/>
        <w:ind w:firstLine="645"/>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其他收入：指除上述“财政拨款收入”、“事业收入”、“经营收入”等以外的收入。主要是：......</w:t>
      </w:r>
    </w:p>
    <w:p>
      <w:pPr>
        <w:numPr>
          <w:ilvl w:val="0"/>
          <w:numId w:val="4"/>
        </w:numPr>
        <w:spacing w:line="580" w:lineRule="exact"/>
        <w:ind w:firstLine="645"/>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使用非财政拨款结余</w:t>
      </w:r>
      <w:r>
        <w:rPr>
          <w:rFonts w:hint="default" w:ascii="Times New Roman" w:hAnsi="Times New Roman" w:eastAsia="仿宋_GB2312" w:cs="Times New Roman"/>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4"/>
        </w:numPr>
        <w:spacing w:line="580" w:lineRule="exact"/>
        <w:ind w:firstLine="645"/>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年初结转和结余：指以前年度尚未完成、结转到本年按规定继续使用的资金。</w:t>
      </w:r>
    </w:p>
    <w:p>
      <w:pPr>
        <w:numPr>
          <w:ilvl w:val="0"/>
          <w:numId w:val="4"/>
        </w:numPr>
        <w:spacing w:line="580" w:lineRule="exact"/>
        <w:ind w:firstLine="645"/>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结余分配：指事业单位按规定提取的职工福利基金、事业基金和缴纳的所得税，以及建设单位按规定应交回的基本建设竣工项目结余资金。</w:t>
      </w:r>
    </w:p>
    <w:p>
      <w:pPr>
        <w:numPr>
          <w:ilvl w:val="0"/>
          <w:numId w:val="4"/>
        </w:numPr>
        <w:spacing w:line="580" w:lineRule="exact"/>
        <w:ind w:firstLine="645"/>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年末结转和结余：指本年度或以前年度预算安排、因客观条件发生变化无法按原计划实施，需延迟到以后年度按有关规定继续使用的资金。</w:t>
      </w:r>
    </w:p>
    <w:p>
      <w:pPr>
        <w:numPr>
          <w:ilvl w:val="0"/>
          <w:numId w:val="4"/>
        </w:numPr>
        <w:spacing w:line="580" w:lineRule="exact"/>
        <w:ind w:firstLine="645"/>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基本支出：指为保障机构正常运转、完成日常工作任务而发生的人员支出和公用支出。</w:t>
      </w:r>
    </w:p>
    <w:p>
      <w:pPr>
        <w:numPr>
          <w:ilvl w:val="0"/>
          <w:numId w:val="4"/>
        </w:numPr>
        <w:spacing w:line="580" w:lineRule="exact"/>
        <w:ind w:firstLine="645"/>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项目支出：指在基本支出之外为完成特定行政任务和事业发展目标所发生的支出。</w:t>
      </w:r>
    </w:p>
    <w:p>
      <w:pPr>
        <w:numPr>
          <w:ilvl w:val="0"/>
          <w:numId w:val="4"/>
        </w:numPr>
        <w:spacing w:line="580" w:lineRule="exact"/>
        <w:ind w:firstLine="645"/>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经营支出：指事业单位在专业业务活动及其辅助活动之外开展非独立核算经营活动发生的支出。</w:t>
      </w:r>
    </w:p>
    <w:p>
      <w:pPr>
        <w:numPr>
          <w:ilvl w:val="0"/>
          <w:numId w:val="4"/>
        </w:numPr>
        <w:spacing w:line="580" w:lineRule="exact"/>
        <w:ind w:firstLine="645"/>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4"/>
        </w:numPr>
        <w:spacing w:line="580" w:lineRule="exact"/>
        <w:ind w:firstLine="645"/>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hint="default" w:ascii="Times New Roman" w:hAnsi="Times New Roman" w:eastAsia="仿宋_GB2312" w:cs="Times New Roman"/>
          <w:kern w:val="0"/>
          <w:sz w:val="32"/>
          <w:szCs w:val="32"/>
        </w:rPr>
      </w:pPr>
    </w:p>
    <w:p>
      <w:pPr>
        <w:rPr>
          <w:rFonts w:hint="default" w:ascii="Times New Roman" w:hAnsi="Times New Roman" w:cs="Times New Roman"/>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5</w:t>
    </w:r>
    <w:r>
      <w:rPr>
        <w:rFonts w:ascii="宋体" w:hAnsi="宋体"/>
        <w:sz w:val="24"/>
        <w:szCs w:val="24"/>
      </w:rPr>
      <w:fldChar w:fldCharType="end"/>
    </w:r>
    <w:r>
      <w:rPr>
        <w:rFonts w:hint="eastAsia" w:ascii="宋体" w:hAnsi="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- 13 -</w:t>
    </w:r>
    <w:r>
      <w:rPr>
        <w:sz w:val="30"/>
        <w:szCs w:val="30"/>
      </w:rPr>
      <w:fldChar w:fldCharType="end"/>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abstractNum w:abstractNumId="3">
    <w:nsid w:val="7886CD82"/>
    <w:multiLevelType w:val="singleLevel"/>
    <w:tmpl w:val="7886CD82"/>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66CA3"/>
    <w:rsid w:val="006C1367"/>
    <w:rsid w:val="00715385"/>
    <w:rsid w:val="00F66C5B"/>
    <w:rsid w:val="02FF67C4"/>
    <w:rsid w:val="0C0E3460"/>
    <w:rsid w:val="0CE35F94"/>
    <w:rsid w:val="0E074DDF"/>
    <w:rsid w:val="0F4A04DB"/>
    <w:rsid w:val="124204B5"/>
    <w:rsid w:val="182962AB"/>
    <w:rsid w:val="18C7076F"/>
    <w:rsid w:val="19D073EB"/>
    <w:rsid w:val="1BC148BB"/>
    <w:rsid w:val="1C7D6311"/>
    <w:rsid w:val="1CC31F67"/>
    <w:rsid w:val="24D337DC"/>
    <w:rsid w:val="26460DBA"/>
    <w:rsid w:val="2B6F74EB"/>
    <w:rsid w:val="2C4219FE"/>
    <w:rsid w:val="2DDD1B32"/>
    <w:rsid w:val="31616A85"/>
    <w:rsid w:val="34020F86"/>
    <w:rsid w:val="34745FCA"/>
    <w:rsid w:val="39A63F06"/>
    <w:rsid w:val="3E0906EA"/>
    <w:rsid w:val="3ED1439F"/>
    <w:rsid w:val="48374EDC"/>
    <w:rsid w:val="4C256E3D"/>
    <w:rsid w:val="4CB52F0F"/>
    <w:rsid w:val="503D530F"/>
    <w:rsid w:val="515C3BF7"/>
    <w:rsid w:val="532F1F9A"/>
    <w:rsid w:val="548B1F22"/>
    <w:rsid w:val="59AB2E42"/>
    <w:rsid w:val="5E995A3E"/>
    <w:rsid w:val="5FBC30B6"/>
    <w:rsid w:val="62163194"/>
    <w:rsid w:val="624D024D"/>
    <w:rsid w:val="650E086A"/>
    <w:rsid w:val="663E3241"/>
    <w:rsid w:val="6BAA0708"/>
    <w:rsid w:val="6C8E13A2"/>
    <w:rsid w:val="6DF97E68"/>
    <w:rsid w:val="6F0533D9"/>
    <w:rsid w:val="70363DF4"/>
    <w:rsid w:val="76E92FEF"/>
    <w:rsid w:val="7A915ECB"/>
    <w:rsid w:val="7CF96551"/>
    <w:rsid w:val="7EC61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1277</Words>
  <Characters>7280</Characters>
  <Lines>60</Lines>
  <Paragraphs>17</Paragraphs>
  <TotalTime>2</TotalTime>
  <ScaleCrop>false</ScaleCrop>
  <LinksUpToDate>false</LinksUpToDate>
  <CharactersWithSpaces>8540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lenovo</cp:lastModifiedBy>
  <cp:lastPrinted>2021-08-20T08:16:00Z</cp:lastPrinted>
  <dcterms:modified xsi:type="dcterms:W3CDTF">2022-09-06T09:36:56Z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9059A113352A4BB6BE76148375F23C43</vt:lpwstr>
  </property>
</Properties>
</file>