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kern w:val="0"/>
          <w:sz w:val="32"/>
          <w:szCs w:val="32"/>
        </w:rPr>
      </w:pPr>
    </w:p>
    <w:p>
      <w:pPr>
        <w:rPr>
          <w:rFonts w:hint="default" w:ascii="Times New Roman" w:hAnsi="Times New Roman" w:eastAsia="黑体" w:cs="Times New Roman"/>
          <w:kern w:val="0"/>
          <w:sz w:val="72"/>
          <w:szCs w:val="72"/>
        </w:rPr>
      </w:pPr>
    </w:p>
    <w:p>
      <w:pPr>
        <w:rPr>
          <w:rFonts w:hint="default" w:ascii="Times New Roman" w:hAnsi="Times New Roman" w:eastAsia="黑体" w:cs="Times New Roman"/>
          <w:kern w:val="0"/>
          <w:sz w:val="72"/>
          <w:szCs w:val="72"/>
        </w:rPr>
      </w:pPr>
    </w:p>
    <w:p>
      <w:pPr>
        <w:jc w:val="center"/>
        <w:rPr>
          <w:rFonts w:hint="default" w:ascii="Times New Roman" w:hAnsi="Times New Roman" w:eastAsia="黑体" w:cs="Times New Roman"/>
          <w:kern w:val="0"/>
          <w:sz w:val="52"/>
          <w:szCs w:val="52"/>
          <w:lang w:eastAsia="zh-CN"/>
        </w:rPr>
      </w:pPr>
      <w:r>
        <w:rPr>
          <w:rFonts w:hint="default" w:ascii="Times New Roman" w:hAnsi="Times New Roman" w:eastAsia="黑体" w:cs="Times New Roman"/>
          <w:kern w:val="0"/>
          <w:sz w:val="52"/>
          <w:szCs w:val="52"/>
          <w:lang w:eastAsia="zh-CN"/>
        </w:rPr>
        <w:t>中共柳州市委员会柳州市人民政府</w:t>
      </w:r>
      <w:r>
        <w:rPr>
          <w:rFonts w:hint="default" w:ascii="Times New Roman" w:hAnsi="Times New Roman" w:eastAsia="黑体" w:cs="Times New Roman"/>
          <w:kern w:val="0"/>
          <w:sz w:val="52"/>
          <w:szCs w:val="52"/>
          <w:lang w:val="en-US" w:eastAsia="zh-CN"/>
        </w:rPr>
        <w:t xml:space="preserve">   </w:t>
      </w:r>
      <w:r>
        <w:rPr>
          <w:rFonts w:hint="default" w:ascii="Times New Roman" w:hAnsi="Times New Roman" w:eastAsia="黑体" w:cs="Times New Roman"/>
          <w:kern w:val="0"/>
          <w:sz w:val="52"/>
          <w:szCs w:val="52"/>
          <w:lang w:eastAsia="zh-CN"/>
        </w:rPr>
        <w:t>信访局</w:t>
      </w:r>
    </w:p>
    <w:p>
      <w:pPr>
        <w:jc w:val="center"/>
        <w:rPr>
          <w:rFonts w:hint="default" w:ascii="Times New Roman" w:hAnsi="Times New Roman" w:eastAsia="黑体" w:cs="Times New Roman"/>
          <w:kern w:val="0"/>
          <w:sz w:val="52"/>
          <w:szCs w:val="52"/>
        </w:rPr>
      </w:pPr>
      <w:r>
        <w:rPr>
          <w:rFonts w:hint="default" w:ascii="Times New Roman" w:hAnsi="Times New Roman" w:eastAsia="黑体" w:cs="Times New Roman"/>
          <w:kern w:val="0"/>
          <w:sz w:val="52"/>
          <w:szCs w:val="52"/>
        </w:rPr>
        <w:t>2020年度部门决算</w:t>
      </w: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48"/>
          <w:szCs w:val="48"/>
        </w:rPr>
      </w:pPr>
    </w:p>
    <w:p>
      <w:pPr>
        <w:jc w:val="center"/>
        <w:rPr>
          <w:rFonts w:hint="default" w:ascii="Times New Roman" w:hAnsi="Times New Roman" w:eastAsia="黑体" w:cs="Times New Roman"/>
          <w:kern w:val="0"/>
          <w:sz w:val="44"/>
          <w:szCs w:val="44"/>
        </w:rPr>
      </w:pPr>
    </w:p>
    <w:p>
      <w:pPr>
        <w:ind w:firstLine="646"/>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目    录</w:t>
      </w:r>
    </w:p>
    <w:p>
      <w:pPr>
        <w:ind w:firstLine="645"/>
        <w:rPr>
          <w:rFonts w:hint="default" w:ascii="Times New Roman" w:hAnsi="Times New Roman" w:eastAsia="仿宋_GB2312" w:cs="Times New Roman"/>
          <w:b/>
          <w:sz w:val="32"/>
          <w:szCs w:val="32"/>
        </w:rPr>
      </w:pP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第一部分：</w:t>
      </w:r>
      <w:r>
        <w:rPr>
          <w:rFonts w:hint="default" w:ascii="Times New Roman" w:hAnsi="Times New Roman" w:eastAsia="仿宋_GB2312" w:cs="Times New Roman"/>
          <w:b/>
          <w:bCs/>
          <w:color w:val="000000"/>
          <w:sz w:val="32"/>
          <w:szCs w:val="32"/>
          <w:u w:val="none"/>
          <w:lang w:eastAsia="zh-CN"/>
        </w:rPr>
        <w:t>柳州市信访局</w:t>
      </w:r>
      <w:r>
        <w:rPr>
          <w:rFonts w:hint="default" w:ascii="Times New Roman" w:hAnsi="Times New Roman" w:eastAsia="仿宋_GB2312" w:cs="Times New Roman"/>
          <w:b/>
          <w:sz w:val="32"/>
          <w:szCs w:val="32"/>
        </w:rPr>
        <w:t>概况</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一、主要职能</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二、部门决算单位构成</w:t>
      </w:r>
    </w:p>
    <w:p>
      <w:pPr>
        <w:ind w:firstLine="64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w:t>
      </w:r>
      <w:r>
        <w:rPr>
          <w:rFonts w:hint="default" w:ascii="Times New Roman" w:hAnsi="Times New Roman" w:eastAsia="仿宋_GB2312" w:cs="Times New Roman"/>
          <w:b/>
          <w:bCs/>
          <w:color w:val="000000"/>
          <w:sz w:val="32"/>
          <w:szCs w:val="32"/>
          <w:u w:val="none"/>
          <w:lang w:eastAsia="zh-CN"/>
        </w:rPr>
        <w:t>柳州市信访局</w:t>
      </w:r>
      <w:r>
        <w:rPr>
          <w:rFonts w:hint="default" w:ascii="Times New Roman" w:hAnsi="Times New Roman" w:eastAsia="仿宋_GB2312" w:cs="Times New Roman"/>
          <w:b/>
          <w:sz w:val="32"/>
          <w:szCs w:val="32"/>
        </w:rPr>
        <w:t>2020年部门决算报表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表一：收入支出决算总表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表二：收入决算表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表三：支出决算表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表四：财政拨款收入支出决算总表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表五：一般公共预算财政拨款支出决算表</w:t>
      </w:r>
    </w:p>
    <w:p>
      <w:pPr>
        <w:ind w:left="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表六：一般公共预算财政拨款基本支出决算表</w:t>
      </w:r>
    </w:p>
    <w:p>
      <w:pPr>
        <w:ind w:left="645"/>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32"/>
          <w:szCs w:val="32"/>
          <w:highlight w:val="none"/>
        </w:rPr>
        <w:t>表七：</w:t>
      </w:r>
      <w:r>
        <w:rPr>
          <w:rFonts w:hint="default" w:ascii="Times New Roman" w:hAnsi="Times New Roman" w:eastAsia="仿宋_GB2312" w:cs="Times New Roman"/>
          <w:sz w:val="28"/>
          <w:szCs w:val="28"/>
          <w:highlight w:val="none"/>
        </w:rPr>
        <w:t>一般公共预算财政拨款安排的“三公”经费支出决算表</w:t>
      </w:r>
    </w:p>
    <w:p>
      <w:pPr>
        <w:ind w:left="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表八：政府性基金预算财政拨款收入支出决算表</w:t>
      </w:r>
    </w:p>
    <w:p>
      <w:pPr>
        <w:ind w:left="645"/>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表九：国有资本经营预算财政拨款支出决算表</w:t>
      </w:r>
    </w:p>
    <w:p>
      <w:pPr>
        <w:ind w:firstLine="645"/>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第三部分：</w:t>
      </w:r>
      <w:r>
        <w:rPr>
          <w:rFonts w:hint="default" w:ascii="Times New Roman" w:hAnsi="Times New Roman" w:eastAsia="仿宋_GB2312" w:cs="Times New Roman"/>
          <w:b/>
          <w:bCs/>
          <w:color w:val="000000"/>
          <w:sz w:val="32"/>
          <w:szCs w:val="32"/>
          <w:highlight w:val="none"/>
          <w:u w:val="none"/>
          <w:lang w:eastAsia="zh-CN"/>
        </w:rPr>
        <w:t>柳州市信访局</w:t>
      </w:r>
      <w:r>
        <w:rPr>
          <w:rFonts w:hint="default" w:ascii="Times New Roman" w:hAnsi="Times New Roman" w:eastAsia="仿宋_GB2312" w:cs="Times New Roman"/>
          <w:b/>
          <w:sz w:val="32"/>
          <w:szCs w:val="32"/>
          <w:highlight w:val="none"/>
        </w:rPr>
        <w:t>2020年度部门决算情况说明</w:t>
      </w:r>
    </w:p>
    <w:p>
      <w:pPr>
        <w:autoSpaceDE w:val="0"/>
        <w:autoSpaceDN w:val="0"/>
        <w:adjustRightInd w:val="0"/>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一、2020 年度收入支出决算总体情况。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二、2020 年度收入决算情况。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三、2020 年度支出决算情况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四、2020年度财政拨款收入支出决算情况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五、2020 年度一般公共预算财政拨款支出决算情况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六、2020 年度一般公共预算财政拨款基本支出决算情况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七、2020 年度一般公共预算财政拨款“三公”经费支出决算情况</w:t>
      </w:r>
    </w:p>
    <w:p>
      <w:pPr>
        <w:autoSpaceDE w:val="0"/>
        <w:autoSpaceDN w:val="0"/>
        <w:adjustRightInd w:val="0"/>
        <w:ind w:firstLine="640" w:firstLineChars="200"/>
        <w:jc w:val="left"/>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kern w:val="0"/>
          <w:sz w:val="32"/>
          <w:szCs w:val="32"/>
          <w:highlight w:val="none"/>
        </w:rPr>
        <w:t>八、2020</w:t>
      </w:r>
      <w:r>
        <w:rPr>
          <w:rFonts w:hint="default" w:ascii="Times New Roman" w:hAnsi="Times New Roman" w:eastAsia="仿宋_GB2312" w:cs="Times New Roman"/>
          <w:bCs/>
          <w:kern w:val="0"/>
          <w:sz w:val="32"/>
          <w:szCs w:val="32"/>
          <w:highlight w:val="none"/>
        </w:rPr>
        <w:t xml:space="preserve"> 年度政府性基金预算财政拨款收入支出决算情况</w:t>
      </w:r>
    </w:p>
    <w:p>
      <w:pPr>
        <w:ind w:left="645"/>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九、</w:t>
      </w:r>
      <w:r>
        <w:rPr>
          <w:rFonts w:hint="default" w:ascii="Times New Roman" w:hAnsi="Times New Roman" w:eastAsia="仿宋_GB2312" w:cs="Times New Roman"/>
          <w:sz w:val="32"/>
          <w:szCs w:val="32"/>
          <w:highlight w:val="none"/>
          <w:lang w:eastAsia="zh-CN"/>
        </w:rPr>
        <w:t>国有资本经营预算财政拨款支出决算情况</w:t>
      </w:r>
    </w:p>
    <w:p>
      <w:pPr>
        <w:autoSpaceDE w:val="0"/>
        <w:autoSpaceDN w:val="0"/>
        <w:adjustRightInd w:val="0"/>
        <w:ind w:firstLine="640" w:firstLineChars="200"/>
        <w:jc w:val="left"/>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lang w:eastAsia="zh-CN"/>
        </w:rPr>
        <w:t>十、</w:t>
      </w:r>
      <w:r>
        <w:rPr>
          <w:rFonts w:hint="default" w:ascii="Times New Roman" w:hAnsi="Times New Roman" w:eastAsia="仿宋_GB2312" w:cs="Times New Roman"/>
          <w:kern w:val="0"/>
          <w:sz w:val="32"/>
          <w:szCs w:val="32"/>
          <w:highlight w:val="none"/>
        </w:rPr>
        <w:t>2020</w:t>
      </w:r>
      <w:r>
        <w:rPr>
          <w:rFonts w:hint="default" w:ascii="Times New Roman" w:hAnsi="Times New Roman" w:eastAsia="仿宋_GB2312" w:cs="Times New Roman"/>
          <w:bCs/>
          <w:kern w:val="0"/>
          <w:sz w:val="32"/>
          <w:szCs w:val="32"/>
          <w:highlight w:val="none"/>
        </w:rPr>
        <w:t xml:space="preserve"> 年度预算绩效情况说明</w:t>
      </w:r>
    </w:p>
    <w:p>
      <w:pPr>
        <w:autoSpaceDE w:val="0"/>
        <w:autoSpaceDN w:val="0"/>
        <w:adjustRightInd w:val="0"/>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Cs/>
          <w:kern w:val="0"/>
          <w:sz w:val="32"/>
          <w:szCs w:val="32"/>
          <w:highlight w:val="none"/>
        </w:rPr>
        <w:t>十</w:t>
      </w:r>
      <w:r>
        <w:rPr>
          <w:rFonts w:hint="default" w:ascii="Times New Roman" w:hAnsi="Times New Roman" w:eastAsia="仿宋_GB2312" w:cs="Times New Roman"/>
          <w:bCs/>
          <w:kern w:val="0"/>
          <w:sz w:val="32"/>
          <w:szCs w:val="32"/>
          <w:highlight w:val="none"/>
          <w:lang w:eastAsia="zh-CN"/>
        </w:rPr>
        <w:t>一</w:t>
      </w:r>
      <w:r>
        <w:rPr>
          <w:rFonts w:hint="default" w:ascii="Times New Roman" w:hAnsi="Times New Roman" w:eastAsia="仿宋_GB2312" w:cs="Times New Roman"/>
          <w:bCs/>
          <w:kern w:val="0"/>
          <w:sz w:val="32"/>
          <w:szCs w:val="32"/>
          <w:highlight w:val="none"/>
        </w:rPr>
        <w:t>、其他重要事项的情况说明</w:t>
      </w:r>
    </w:p>
    <w:p>
      <w:pPr>
        <w:ind w:firstLine="645"/>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第四部分：名词解释</w:t>
      </w:r>
    </w:p>
    <w:p>
      <w:pPr>
        <w:spacing w:line="720" w:lineRule="auto"/>
        <w:ind w:firstLine="646"/>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Cs/>
          <w:kern w:val="0"/>
          <w:sz w:val="32"/>
          <w:szCs w:val="32"/>
          <w:highlight w:val="none"/>
        </w:rPr>
        <w:br w:type="page"/>
      </w:r>
      <w:r>
        <w:rPr>
          <w:rFonts w:hint="default" w:ascii="Times New Roman" w:hAnsi="Times New Roman" w:eastAsia="仿宋_GB2312" w:cs="Times New Roman"/>
          <w:b/>
          <w:sz w:val="32"/>
          <w:szCs w:val="32"/>
          <w:highlight w:val="none"/>
        </w:rPr>
        <w:t>第一部分：</w:t>
      </w:r>
      <w:r>
        <w:rPr>
          <w:rFonts w:hint="default" w:ascii="Times New Roman" w:hAnsi="Times New Roman" w:eastAsia="仿宋_GB2312" w:cs="Times New Roman"/>
          <w:b/>
          <w:sz w:val="32"/>
          <w:szCs w:val="32"/>
          <w:highlight w:val="none"/>
          <w:lang w:eastAsia="zh-CN"/>
        </w:rPr>
        <w:t>市信访局</w:t>
      </w:r>
      <w:r>
        <w:rPr>
          <w:rFonts w:hint="default" w:ascii="Times New Roman" w:hAnsi="Times New Roman" w:eastAsia="仿宋_GB2312" w:cs="Times New Roman"/>
          <w:b/>
          <w:sz w:val="32"/>
          <w:szCs w:val="32"/>
          <w:highlight w:val="none"/>
        </w:rPr>
        <w:t>概况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一、主要职能</w:t>
      </w:r>
      <w:r>
        <w:rPr>
          <w:rFonts w:hint="default" w:ascii="Times New Roman" w:hAnsi="Times New Roman" w:eastAsia="仿宋_GB2312" w:cs="Times New Roman"/>
          <w:color w:val="000000"/>
          <w:kern w:val="0"/>
          <w:sz w:val="31"/>
          <w:szCs w:val="3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40" w:firstLineChars="4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 xml:space="preserve">1、负责处理群众向市委、市政府及领导同志的来信来电及来访反映的信访事项。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40" w:firstLineChars="4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2、负责收集群众来信来电来访中提出的重要建议、意见和问题，向市委、市政府提供社情民意，综合研判，开展调查研究，提出完善有关政策、法律法规和解决信访问题的意见和建议。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40" w:firstLineChars="4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 xml:space="preserve">3、负责督办重要信访案件，承办上级部门向市委、市政府转送、交办和市委、市政府领导同志批示交办的重要信访事项，负责向县区和市直部门交办、转办、移送信访事项。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40" w:firstLineChars="4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 xml:space="preserve">4、负责办理群众向市政府提出信访事项复查复核的相关工作。指导复杂疑难信访事项的听证评议工作。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40" w:firstLineChars="4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 xml:space="preserve">5、协调、检查、指导全市信访工作，组织信访干部教育培训工作。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40" w:firstLineChars="4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6、负责协调全市信访工作的宣传和信息发布。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40" w:firstLineChars="4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1"/>
          <w:szCs w:val="31"/>
          <w:highlight w:val="none"/>
          <w:lang w:val="en-US" w:eastAsia="zh-CN" w:bidi="ar"/>
        </w:rPr>
        <w:t xml:space="preserve">7、承办市委、市政府交办的其他事项。 </w:t>
      </w:r>
    </w:p>
    <w:p>
      <w:pPr>
        <w:keepNext w:val="0"/>
        <w:keepLines w:val="0"/>
        <w:pageBreakBefore w:val="0"/>
        <w:kinsoku/>
        <w:wordWrap/>
        <w:overflowPunct/>
        <w:topLinePunct w:val="0"/>
        <w:autoSpaceDE/>
        <w:autoSpaceDN/>
        <w:bidi w:val="0"/>
        <w:adjustRightInd/>
        <w:snapToGrid/>
        <w:spacing w:line="560" w:lineRule="exact"/>
        <w:ind w:firstLine="646"/>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二、部门决算单位构成</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1、中共柳州市委员会柳州市人民政府信访局</w:t>
      </w:r>
    </w:p>
    <w:p>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2、柳州市信访信息中心</w:t>
      </w:r>
    </w:p>
    <w:p>
      <w:pPr>
        <w:spacing w:line="72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第二部分：</w:t>
      </w:r>
      <w:r>
        <w:rPr>
          <w:rFonts w:hint="default" w:ascii="Times New Roman" w:hAnsi="Times New Roman" w:eastAsia="仿宋_GB2312" w:cs="Times New Roman"/>
          <w:b/>
          <w:bCs/>
          <w:color w:val="000000"/>
          <w:sz w:val="32"/>
          <w:szCs w:val="32"/>
          <w:highlight w:val="none"/>
          <w:u w:val="none"/>
          <w:lang w:eastAsia="zh-CN"/>
        </w:rPr>
        <w:t>柳州市信访局</w:t>
      </w:r>
      <w:r>
        <w:rPr>
          <w:rFonts w:hint="default" w:ascii="Times New Roman" w:hAnsi="Times New Roman" w:eastAsia="仿宋_GB2312" w:cs="Times New Roman"/>
          <w:b/>
          <w:sz w:val="32"/>
          <w:szCs w:val="32"/>
          <w:highlight w:val="none"/>
        </w:rPr>
        <w:t>2020年部门决算报表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tbl>
      <w:tblPr>
        <w:tblStyle w:val="5"/>
        <w:tblW w:w="8940" w:type="dxa"/>
        <w:jc w:val="center"/>
        <w:tblLayout w:type="fixed"/>
        <w:tblCellMar>
          <w:top w:w="0" w:type="dxa"/>
          <w:left w:w="108" w:type="dxa"/>
          <w:bottom w:w="0" w:type="dxa"/>
          <w:right w:w="108" w:type="dxa"/>
        </w:tblCellMar>
      </w:tblPr>
      <w:tblGrid>
        <w:gridCol w:w="3527"/>
        <w:gridCol w:w="920"/>
        <w:gridCol w:w="3289"/>
        <w:gridCol w:w="919"/>
        <w:gridCol w:w="285"/>
      </w:tblGrid>
      <w:tr>
        <w:tblPrEx>
          <w:tblCellMar>
            <w:top w:w="0" w:type="dxa"/>
            <w:left w:w="108" w:type="dxa"/>
            <w:bottom w:w="0" w:type="dxa"/>
            <w:right w:w="108" w:type="dxa"/>
          </w:tblCellMar>
        </w:tblPrEx>
        <w:trPr>
          <w:gridAfter w:val="1"/>
          <w:wAfter w:w="285" w:type="dxa"/>
          <w:trHeight w:val="570" w:hRule="atLeast"/>
          <w:jc w:val="center"/>
        </w:trPr>
        <w:tc>
          <w:tcPr>
            <w:tcW w:w="8655" w:type="dxa"/>
            <w:gridSpan w:val="4"/>
            <w:tcBorders>
              <w:top w:val="nil"/>
              <w:left w:val="nil"/>
              <w:bottom w:val="nil"/>
              <w:right w:val="nil"/>
            </w:tcBorders>
            <w:vAlign w:val="bottom"/>
          </w:tcPr>
          <w:p>
            <w:pPr>
              <w:widowControl/>
              <w:jc w:val="center"/>
              <w:rPr>
                <w:rFonts w:hint="default" w:ascii="Times New Roman" w:hAnsi="Times New Roman" w:eastAsia="方正小标宋简体" w:cs="Times New Roman"/>
                <w:kern w:val="0"/>
                <w:sz w:val="36"/>
                <w:szCs w:val="36"/>
                <w:highlight w:val="none"/>
              </w:rPr>
            </w:pPr>
            <w:r>
              <w:rPr>
                <w:rFonts w:hint="default" w:ascii="Times New Roman" w:hAnsi="Times New Roman" w:eastAsia="方正小标宋简体" w:cs="Times New Roman"/>
                <w:kern w:val="0"/>
                <w:sz w:val="36"/>
                <w:szCs w:val="36"/>
                <w:highlight w:val="none"/>
              </w:rPr>
              <w:t>表一：收入支出决算总表</w:t>
            </w:r>
          </w:p>
          <w:p>
            <w:pPr>
              <w:widowControl/>
              <w:jc w:val="righ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单位：万元</w:t>
            </w:r>
          </w:p>
        </w:tc>
      </w:tr>
      <w:tr>
        <w:tblPrEx>
          <w:tblCellMar>
            <w:top w:w="0" w:type="dxa"/>
            <w:left w:w="108" w:type="dxa"/>
            <w:bottom w:w="0" w:type="dxa"/>
            <w:right w:w="108" w:type="dxa"/>
          </w:tblCellMar>
        </w:tblPrEx>
        <w:trPr>
          <w:trHeight w:val="270" w:hRule="atLeast"/>
          <w:jc w:val="center"/>
        </w:trPr>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收    入</w:t>
            </w:r>
          </w:p>
        </w:tc>
        <w:tc>
          <w:tcPr>
            <w:tcW w:w="4493"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支    出</w:t>
            </w:r>
          </w:p>
        </w:tc>
      </w:tr>
      <w:tr>
        <w:tblPrEx>
          <w:tblCellMar>
            <w:top w:w="0" w:type="dxa"/>
            <w:left w:w="108" w:type="dxa"/>
            <w:bottom w:w="0" w:type="dxa"/>
            <w:right w:w="108" w:type="dxa"/>
          </w:tblCellMar>
        </w:tblPrEx>
        <w:trPr>
          <w:trHeight w:val="270"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项目</w:t>
            </w: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决算数</w:t>
            </w:r>
          </w:p>
        </w:tc>
        <w:tc>
          <w:tcPr>
            <w:tcW w:w="328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项目</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决算数</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eastAsia="zh-CN"/>
              </w:rPr>
            </w:pPr>
            <w:r>
              <w:rPr>
                <w:rFonts w:hint="default" w:ascii="Times New Roman" w:hAnsi="Times New Roman" w:cs="Times New Roman"/>
                <w:color w:val="000000"/>
                <w:kern w:val="0"/>
                <w:sz w:val="22"/>
                <w:szCs w:val="22"/>
                <w:highlight w:val="none"/>
              </w:rPr>
              <w:t>一、</w:t>
            </w:r>
            <w:r>
              <w:rPr>
                <w:rFonts w:hint="default" w:ascii="Times New Roman" w:hAnsi="Times New Roman" w:cs="Times New Roman"/>
                <w:color w:val="000000"/>
                <w:kern w:val="0"/>
                <w:sz w:val="22"/>
                <w:szCs w:val="22"/>
                <w:highlight w:val="none"/>
                <w:lang w:eastAsia="zh-CN"/>
              </w:rPr>
              <w:t>一般公共预算财政拨款收入</w:t>
            </w: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594.3</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一、一般公共服务支出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437.63</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eastAsia="zh-CN"/>
              </w:rPr>
            </w:pPr>
            <w:r>
              <w:rPr>
                <w:rFonts w:hint="default" w:ascii="Times New Roman" w:hAnsi="Times New Roman" w:cs="Times New Roman"/>
                <w:color w:val="000000"/>
                <w:kern w:val="0"/>
                <w:sz w:val="22"/>
                <w:szCs w:val="22"/>
                <w:highlight w:val="none"/>
              </w:rPr>
              <w:t>二、</w:t>
            </w:r>
            <w:r>
              <w:rPr>
                <w:rFonts w:hint="default" w:ascii="Times New Roman" w:hAnsi="Times New Roman" w:cs="Times New Roman"/>
                <w:color w:val="000000"/>
                <w:kern w:val="0"/>
                <w:sz w:val="22"/>
                <w:szCs w:val="22"/>
                <w:highlight w:val="none"/>
                <w:lang w:eastAsia="zh-CN"/>
              </w:rPr>
              <w:t>政府性基金预算财政拨款收入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二、外交支出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lang w:eastAsia="zh-CN"/>
              </w:rPr>
              <w:t>三</w:t>
            </w:r>
            <w:r>
              <w:rPr>
                <w:rFonts w:hint="default" w:ascii="Times New Roman" w:hAnsi="Times New Roman" w:cs="Times New Roman"/>
                <w:color w:val="000000"/>
                <w:kern w:val="0"/>
                <w:sz w:val="22"/>
                <w:szCs w:val="22"/>
                <w:highlight w:val="none"/>
              </w:rPr>
              <w:t>、</w:t>
            </w:r>
            <w:r>
              <w:rPr>
                <w:rFonts w:hint="default" w:ascii="Times New Roman" w:hAnsi="Times New Roman" w:cs="Times New Roman"/>
                <w:color w:val="000000"/>
                <w:kern w:val="0"/>
                <w:sz w:val="22"/>
                <w:szCs w:val="22"/>
                <w:highlight w:val="none"/>
                <w:lang w:eastAsia="zh-CN"/>
              </w:rPr>
              <w:t>上级补助</w:t>
            </w:r>
            <w:r>
              <w:rPr>
                <w:rFonts w:hint="default" w:ascii="Times New Roman" w:hAnsi="Times New Roman" w:cs="Times New Roman"/>
                <w:color w:val="000000"/>
                <w:kern w:val="0"/>
                <w:sz w:val="22"/>
                <w:szCs w:val="22"/>
                <w:highlight w:val="none"/>
              </w:rPr>
              <w:t>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三、国防支出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lang w:eastAsia="zh-CN"/>
              </w:rPr>
              <w:t>四</w:t>
            </w:r>
            <w:r>
              <w:rPr>
                <w:rFonts w:hint="default" w:ascii="Times New Roman" w:hAnsi="Times New Roman" w:cs="Times New Roman"/>
                <w:color w:val="000000"/>
                <w:kern w:val="0"/>
                <w:sz w:val="22"/>
                <w:szCs w:val="22"/>
                <w:highlight w:val="none"/>
              </w:rPr>
              <w:t>、</w:t>
            </w:r>
            <w:r>
              <w:rPr>
                <w:rFonts w:hint="default" w:ascii="Times New Roman" w:hAnsi="Times New Roman" w:cs="Times New Roman"/>
                <w:color w:val="000000"/>
                <w:kern w:val="0"/>
                <w:sz w:val="22"/>
                <w:szCs w:val="22"/>
                <w:highlight w:val="none"/>
                <w:lang w:eastAsia="zh-CN"/>
              </w:rPr>
              <w:t>事业</w:t>
            </w:r>
            <w:r>
              <w:rPr>
                <w:rFonts w:hint="default" w:ascii="Times New Roman" w:hAnsi="Times New Roman" w:cs="Times New Roman"/>
                <w:color w:val="000000"/>
                <w:kern w:val="0"/>
                <w:sz w:val="22"/>
                <w:szCs w:val="22"/>
                <w:highlight w:val="none"/>
              </w:rPr>
              <w:t>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四、公共安全支出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lang w:eastAsia="zh-CN"/>
              </w:rPr>
              <w:t>五</w:t>
            </w:r>
            <w:r>
              <w:rPr>
                <w:rFonts w:hint="default" w:ascii="Times New Roman" w:hAnsi="Times New Roman" w:cs="Times New Roman"/>
                <w:color w:val="000000"/>
                <w:kern w:val="0"/>
                <w:sz w:val="22"/>
                <w:szCs w:val="22"/>
                <w:highlight w:val="none"/>
              </w:rPr>
              <w:t>、</w:t>
            </w:r>
            <w:r>
              <w:rPr>
                <w:rFonts w:hint="default" w:ascii="Times New Roman" w:hAnsi="Times New Roman" w:cs="Times New Roman"/>
                <w:color w:val="000000"/>
                <w:kern w:val="0"/>
                <w:sz w:val="22"/>
                <w:szCs w:val="22"/>
                <w:highlight w:val="none"/>
                <w:lang w:eastAsia="zh-CN"/>
              </w:rPr>
              <w:t>经营</w:t>
            </w:r>
            <w:r>
              <w:rPr>
                <w:rFonts w:hint="default" w:ascii="Times New Roman" w:hAnsi="Times New Roman" w:cs="Times New Roman"/>
                <w:color w:val="000000"/>
                <w:kern w:val="0"/>
                <w:sz w:val="22"/>
                <w:szCs w:val="22"/>
                <w:highlight w:val="none"/>
              </w:rPr>
              <w:t>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五、教育支出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eastAsia="zh-CN"/>
              </w:rPr>
            </w:pPr>
            <w:r>
              <w:rPr>
                <w:rFonts w:hint="default" w:ascii="Times New Roman" w:hAnsi="Times New Roman" w:cs="Times New Roman"/>
                <w:color w:val="000000"/>
                <w:kern w:val="0"/>
                <w:sz w:val="22"/>
                <w:szCs w:val="22"/>
                <w:highlight w:val="none"/>
                <w:lang w:eastAsia="zh-CN"/>
              </w:rPr>
              <w:t>六、附属单位上缴收入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六、科学技术支出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lang w:eastAsia="zh-CN"/>
              </w:rPr>
              <w:t>七</w:t>
            </w:r>
            <w:r>
              <w:rPr>
                <w:rFonts w:hint="default" w:ascii="Times New Roman" w:hAnsi="Times New Roman" w:cs="Times New Roman"/>
                <w:color w:val="000000"/>
                <w:kern w:val="0"/>
                <w:sz w:val="22"/>
                <w:szCs w:val="22"/>
                <w:highlight w:val="none"/>
              </w:rPr>
              <w:t>、其他收入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七、文化旅游体育与传媒支出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八、社会保障和就业支出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53.64</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九、卫生健康支出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33.42</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十、节能环保支出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十一、城乡社区支出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b/>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十二、农林水支出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b/>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十三、交通运输支出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十四、资源勘探信息等支出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eastAsia="zh-CN"/>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十五、商业服务业等支出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十六、金融支出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十七、援助其他地区支出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十八、自然资源海洋气象等支出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十九、住房保障支出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lang w:val="en-US" w:eastAsia="zh-CN" w:bidi="ar-SA"/>
              </w:rPr>
              <w:t>28.02</w:t>
            </w: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二十、粮油物资储备支出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二十一、灾害防治及应急管理支出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二十二、其他支出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二十三、债务还本支出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b/>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二十四、债务付息支出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b/>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b/>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rPr>
              <w:t>本年收入合计</w:t>
            </w: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lang w:val="en-US" w:eastAsia="zh-CN"/>
              </w:rPr>
              <w:t>594.3</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rPr>
              <w:t>本年支出合计</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cs="Times New Roman"/>
                <w:b/>
                <w:color w:val="000000"/>
                <w:kern w:val="0"/>
                <w:sz w:val="22"/>
                <w:szCs w:val="22"/>
                <w:highlight w:val="none"/>
                <w:lang w:val="en-US" w:eastAsia="zh-CN"/>
              </w:rPr>
              <w:t>552.71</w:t>
            </w:r>
            <w:r>
              <w:rPr>
                <w:rFonts w:hint="default" w:ascii="Times New Roman" w:hAnsi="Times New Roman" w:eastAsia="宋体" w:cs="Times New Roman"/>
                <w:i w:val="0"/>
                <w:color w:val="000000"/>
                <w:kern w:val="0"/>
                <w:sz w:val="22"/>
                <w:szCs w:val="22"/>
                <w:highlight w:val="none"/>
                <w:u w:val="none"/>
                <w:lang w:val="en-US" w:eastAsia="zh-CN" w:bidi="ar"/>
              </w:rPr>
              <w:t xml:space="preserve"> </w:t>
            </w: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rPr>
              <w:t>　用事业基金弥补收支差额</w:t>
            </w: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rPr>
              <w:t>结余分配</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 xml:space="preserve">0.00 </w:t>
            </w: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rPr>
              <w:t>　年</w:t>
            </w:r>
            <w:r>
              <w:rPr>
                <w:rFonts w:hint="default" w:ascii="Times New Roman" w:hAnsi="Times New Roman" w:cs="Times New Roman"/>
                <w:color w:val="000000"/>
                <w:kern w:val="0"/>
                <w:sz w:val="22"/>
                <w:szCs w:val="22"/>
                <w:highlight w:val="none"/>
                <w:lang w:eastAsia="zh-CN"/>
              </w:rPr>
              <w:t>初</w:t>
            </w:r>
            <w:r>
              <w:rPr>
                <w:rFonts w:hint="default" w:ascii="Times New Roman" w:hAnsi="Times New Roman" w:cs="Times New Roman"/>
                <w:color w:val="000000"/>
                <w:kern w:val="0"/>
                <w:sz w:val="22"/>
                <w:szCs w:val="22"/>
                <w:highlight w:val="none"/>
              </w:rPr>
              <w:t>结转</w:t>
            </w:r>
            <w:r>
              <w:rPr>
                <w:rFonts w:hint="default" w:ascii="Times New Roman" w:hAnsi="Times New Roman" w:cs="Times New Roman"/>
                <w:color w:val="000000"/>
                <w:kern w:val="0"/>
                <w:sz w:val="22"/>
                <w:szCs w:val="22"/>
                <w:highlight w:val="none"/>
                <w:lang w:eastAsia="zh-CN"/>
              </w:rPr>
              <w:t>和结余</w:t>
            </w: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lang w:val="en-US" w:eastAsia="zh-CN"/>
              </w:rPr>
              <w:t>8.55</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rPr>
              <w:t>年末结转与结余</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cs="Times New Roman"/>
                <w:i w:val="0"/>
                <w:color w:val="000000"/>
                <w:kern w:val="0"/>
                <w:sz w:val="22"/>
                <w:szCs w:val="22"/>
                <w:highlight w:val="none"/>
                <w:u w:val="none"/>
                <w:lang w:val="en-US" w:eastAsia="zh-CN" w:bidi="ar"/>
              </w:rPr>
              <w:t>50.14</w:t>
            </w:r>
            <w:r>
              <w:rPr>
                <w:rFonts w:hint="default" w:ascii="Times New Roman" w:hAnsi="Times New Roman" w:eastAsia="宋体" w:cs="Times New Roman"/>
                <w:i w:val="0"/>
                <w:color w:val="000000"/>
                <w:kern w:val="0"/>
                <w:sz w:val="22"/>
                <w:szCs w:val="22"/>
                <w:highlight w:val="none"/>
                <w:u w:val="none"/>
                <w:lang w:val="en-US" w:eastAsia="zh-CN" w:bidi="ar"/>
              </w:rPr>
              <w:t xml:space="preserve"> </w:t>
            </w: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rPr>
              <w:t>收入总计</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cs="Times New Roman"/>
                <w:b/>
                <w:color w:val="000000"/>
                <w:kern w:val="0"/>
                <w:sz w:val="22"/>
                <w:szCs w:val="22"/>
                <w:highlight w:val="none"/>
                <w:lang w:val="en-US" w:eastAsia="zh-CN"/>
              </w:rPr>
              <w:t>602.82</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rPr>
              <w:t>支出总计</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cs="Times New Roman"/>
                <w:b/>
                <w:color w:val="000000"/>
                <w:kern w:val="0"/>
                <w:sz w:val="22"/>
                <w:szCs w:val="22"/>
                <w:highlight w:val="none"/>
                <w:lang w:val="en-US" w:eastAsia="zh-CN"/>
              </w:rPr>
              <w:t>602.85</w:t>
            </w:r>
            <w:r>
              <w:rPr>
                <w:rFonts w:hint="default" w:ascii="Times New Roman" w:hAnsi="Times New Roman" w:eastAsia="宋体" w:cs="Times New Roman"/>
                <w:i w:val="0"/>
                <w:color w:val="000000"/>
                <w:kern w:val="0"/>
                <w:sz w:val="24"/>
                <w:szCs w:val="24"/>
                <w:highlight w:val="none"/>
                <w:u w:val="none"/>
                <w:lang w:val="en-US" w:eastAsia="zh-CN" w:bidi="ar"/>
              </w:rPr>
              <w:t xml:space="preserve"> </w:t>
            </w:r>
          </w:p>
        </w:tc>
      </w:tr>
    </w:tbl>
    <w:p>
      <w:pPr>
        <w:rPr>
          <w:rFonts w:hint="default" w:ascii="Times New Roman" w:hAnsi="Times New Roman" w:cs="Times New Roman"/>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NumType w:fmt="decimal" w:start="1"/>
          <w:cols w:space="720" w:num="1"/>
          <w:docGrid w:type="lines" w:linePitch="312" w:charSpace="0"/>
        </w:sectPr>
      </w:pPr>
      <w:r>
        <w:rPr>
          <w:rFonts w:hint="default" w:ascii="Times New Roman" w:hAnsi="Times New Roman" w:cs="Times New Roman"/>
          <w:highlight w:val="none"/>
        </w:rPr>
        <w:t>注：本表映部门本年度的总收支和年末结转结余情况。</w:t>
      </w:r>
    </w:p>
    <w:p>
      <w:pPr>
        <w:jc w:val="center"/>
        <w:rPr>
          <w:rFonts w:hint="default" w:ascii="Times New Roman" w:hAnsi="Times New Roman" w:cs="Times New Roman"/>
          <w:highlight w:val="none"/>
        </w:rPr>
      </w:pPr>
      <w:r>
        <w:rPr>
          <w:rFonts w:hint="default" w:ascii="Times New Roman" w:hAnsi="Times New Roman" w:eastAsia="方正小标宋简体" w:cs="Times New Roman"/>
          <w:kern w:val="0"/>
          <w:sz w:val="36"/>
          <w:szCs w:val="36"/>
          <w:highlight w:val="none"/>
        </w:rPr>
        <w:t>表二：收入决算表</w:t>
      </w:r>
    </w:p>
    <w:p>
      <w:pPr>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en-US" w:eastAsia="zh-CN"/>
        </w:rPr>
        <w:t xml:space="preserve">                                                                                                                    </w:t>
      </w:r>
      <w:r>
        <w:rPr>
          <w:rFonts w:hint="default" w:ascii="Times New Roman" w:hAnsi="Times New Roman" w:cs="Times New Roman"/>
          <w:sz w:val="22"/>
          <w:szCs w:val="22"/>
          <w:highlight w:val="none"/>
        </w:rPr>
        <w:t xml:space="preserve">单位：万元                     </w:t>
      </w:r>
    </w:p>
    <w:tbl>
      <w:tblPr>
        <w:tblStyle w:val="5"/>
        <w:tblW w:w="13778" w:type="dxa"/>
        <w:jc w:val="center"/>
        <w:tblLayout w:type="fixed"/>
        <w:tblCellMar>
          <w:top w:w="0" w:type="dxa"/>
          <w:left w:w="108" w:type="dxa"/>
          <w:bottom w:w="0" w:type="dxa"/>
          <w:right w:w="108" w:type="dxa"/>
        </w:tblCellMar>
      </w:tblPr>
      <w:tblGrid>
        <w:gridCol w:w="2317"/>
        <w:gridCol w:w="3934"/>
        <w:gridCol w:w="1520"/>
        <w:gridCol w:w="1493"/>
        <w:gridCol w:w="920"/>
        <w:gridCol w:w="778"/>
        <w:gridCol w:w="694"/>
        <w:gridCol w:w="1320"/>
        <w:gridCol w:w="802"/>
      </w:tblGrid>
      <w:tr>
        <w:tblPrEx>
          <w:tblCellMar>
            <w:top w:w="0" w:type="dxa"/>
            <w:left w:w="108" w:type="dxa"/>
            <w:bottom w:w="0" w:type="dxa"/>
            <w:right w:w="108" w:type="dxa"/>
          </w:tblCellMar>
        </w:tblPrEx>
        <w:trPr>
          <w:trHeight w:val="166" w:hRule="atLeast"/>
          <w:jc w:val="center"/>
        </w:trPr>
        <w:tc>
          <w:tcPr>
            <w:tcW w:w="6251"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cs="Times New Roman"/>
                <w:color w:val="000000"/>
                <w:kern w:val="0"/>
                <w:sz w:val="20"/>
                <w:szCs w:val="20"/>
                <w:highlight w:val="none"/>
              </w:rPr>
            </w:pPr>
            <w:r>
              <w:rPr>
                <w:rFonts w:hint="default" w:ascii="Times New Roman" w:hAnsi="Times New Roman" w:cs="Times New Roman"/>
                <w:kern w:val="0"/>
                <w:sz w:val="20"/>
                <w:szCs w:val="20"/>
                <w:highlight w:val="none"/>
              </w:rPr>
              <w:t>支出功能项目</w:t>
            </w: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kern w:val="0"/>
                <w:sz w:val="20"/>
                <w:szCs w:val="20"/>
                <w:highlight w:val="none"/>
              </w:rPr>
            </w:pPr>
            <w:r>
              <w:rPr>
                <w:rFonts w:hint="default" w:ascii="Times New Roman" w:hAnsi="Times New Roman" w:cs="Times New Roman"/>
                <w:kern w:val="0"/>
                <w:sz w:val="20"/>
                <w:szCs w:val="20"/>
                <w:highlight w:val="none"/>
              </w:rPr>
              <w:t>本年收入合计</w:t>
            </w:r>
          </w:p>
        </w:tc>
        <w:tc>
          <w:tcPr>
            <w:tcW w:w="14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kern w:val="0"/>
                <w:sz w:val="20"/>
                <w:szCs w:val="20"/>
                <w:highlight w:val="none"/>
              </w:rPr>
            </w:pPr>
            <w:r>
              <w:rPr>
                <w:rFonts w:hint="default" w:ascii="Times New Roman" w:hAnsi="Times New Roman" w:cs="Times New Roman"/>
                <w:kern w:val="0"/>
                <w:sz w:val="20"/>
                <w:szCs w:val="20"/>
                <w:highlight w:val="none"/>
              </w:rPr>
              <w:t>财政拨款收入</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kern w:val="0"/>
                <w:sz w:val="20"/>
                <w:szCs w:val="20"/>
                <w:highlight w:val="none"/>
              </w:rPr>
            </w:pPr>
            <w:r>
              <w:rPr>
                <w:rFonts w:hint="default" w:ascii="Times New Roman" w:hAnsi="Times New Roman" w:cs="Times New Roman"/>
                <w:kern w:val="0"/>
                <w:sz w:val="20"/>
                <w:szCs w:val="20"/>
                <w:highlight w:val="none"/>
              </w:rPr>
              <w:t>上级补助收入</w:t>
            </w:r>
          </w:p>
        </w:tc>
        <w:tc>
          <w:tcPr>
            <w:tcW w:w="7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kern w:val="0"/>
                <w:sz w:val="20"/>
                <w:szCs w:val="20"/>
                <w:highlight w:val="none"/>
              </w:rPr>
            </w:pPr>
            <w:r>
              <w:rPr>
                <w:rFonts w:hint="default" w:ascii="Times New Roman" w:hAnsi="Times New Roman" w:cs="Times New Roman"/>
                <w:kern w:val="0"/>
                <w:sz w:val="20"/>
                <w:szCs w:val="20"/>
                <w:highlight w:val="none"/>
              </w:rPr>
              <w:t>事业收入</w:t>
            </w:r>
          </w:p>
        </w:tc>
        <w:tc>
          <w:tcPr>
            <w:tcW w:w="6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kern w:val="0"/>
                <w:sz w:val="20"/>
                <w:szCs w:val="20"/>
                <w:highlight w:val="none"/>
              </w:rPr>
            </w:pPr>
            <w:r>
              <w:rPr>
                <w:rFonts w:hint="default" w:ascii="Times New Roman" w:hAnsi="Times New Roman" w:cs="Times New Roman"/>
                <w:kern w:val="0"/>
                <w:sz w:val="20"/>
                <w:szCs w:val="20"/>
                <w:highlight w:val="none"/>
              </w:rPr>
              <w:t>经营收入</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kern w:val="0"/>
                <w:sz w:val="20"/>
                <w:szCs w:val="20"/>
                <w:highlight w:val="none"/>
              </w:rPr>
            </w:pPr>
            <w:r>
              <w:rPr>
                <w:rFonts w:hint="default" w:ascii="Times New Roman" w:hAnsi="Times New Roman" w:cs="Times New Roman"/>
                <w:kern w:val="0"/>
                <w:sz w:val="20"/>
                <w:szCs w:val="20"/>
                <w:highlight w:val="none"/>
              </w:rPr>
              <w:t>附属单位上缴收入</w:t>
            </w:r>
          </w:p>
        </w:tc>
        <w:tc>
          <w:tcPr>
            <w:tcW w:w="80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000000"/>
                <w:kern w:val="0"/>
                <w:sz w:val="20"/>
                <w:szCs w:val="20"/>
                <w:highlight w:val="none"/>
              </w:rPr>
            </w:pPr>
            <w:r>
              <w:rPr>
                <w:rFonts w:hint="default" w:ascii="Times New Roman" w:hAnsi="Times New Roman" w:cs="Times New Roman"/>
                <w:kern w:val="0"/>
                <w:sz w:val="20"/>
                <w:szCs w:val="20"/>
                <w:highlight w:val="none"/>
              </w:rPr>
              <w:t>其他收入</w:t>
            </w:r>
          </w:p>
        </w:tc>
      </w:tr>
      <w:tr>
        <w:tblPrEx>
          <w:tblCellMar>
            <w:top w:w="0" w:type="dxa"/>
            <w:left w:w="108" w:type="dxa"/>
            <w:bottom w:w="0" w:type="dxa"/>
            <w:right w:w="108" w:type="dxa"/>
          </w:tblCellMar>
        </w:tblPrEx>
        <w:trPr>
          <w:trHeight w:val="238" w:hRule="atLeast"/>
          <w:jc w:val="center"/>
        </w:trPr>
        <w:tc>
          <w:tcPr>
            <w:tcW w:w="231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kern w:val="0"/>
                <w:sz w:val="20"/>
                <w:szCs w:val="20"/>
                <w:highlight w:val="none"/>
              </w:rPr>
            </w:pPr>
            <w:r>
              <w:rPr>
                <w:rFonts w:hint="default" w:ascii="Times New Roman" w:hAnsi="Times New Roman" w:cs="Times New Roman"/>
                <w:kern w:val="0"/>
                <w:sz w:val="20"/>
                <w:szCs w:val="20"/>
                <w:highlight w:val="none"/>
              </w:rPr>
              <w:t>支出功能分类科目编码</w:t>
            </w:r>
          </w:p>
        </w:tc>
        <w:tc>
          <w:tcPr>
            <w:tcW w:w="393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highlight w:val="none"/>
              </w:rPr>
            </w:pPr>
            <w:r>
              <w:rPr>
                <w:rFonts w:hint="default" w:ascii="Times New Roman" w:hAnsi="Times New Roman" w:cs="Times New Roman"/>
                <w:kern w:val="0"/>
                <w:sz w:val="20"/>
                <w:szCs w:val="20"/>
                <w:highlight w:val="none"/>
              </w:rPr>
              <w:t>科目名称</w:t>
            </w: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highlight w:val="none"/>
              </w:rPr>
            </w:pPr>
          </w:p>
        </w:tc>
        <w:tc>
          <w:tcPr>
            <w:tcW w:w="14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highlight w:val="none"/>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highlight w:val="none"/>
              </w:rPr>
            </w:pPr>
          </w:p>
        </w:tc>
        <w:tc>
          <w:tcPr>
            <w:tcW w:w="778"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highlight w:val="none"/>
              </w:rPr>
            </w:pPr>
          </w:p>
        </w:tc>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highlight w:val="none"/>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highlight w:val="none"/>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highlight w:val="none"/>
              </w:rPr>
            </w:pPr>
          </w:p>
        </w:tc>
      </w:tr>
      <w:tr>
        <w:tblPrEx>
          <w:tblCellMar>
            <w:top w:w="0" w:type="dxa"/>
            <w:left w:w="108" w:type="dxa"/>
            <w:bottom w:w="0" w:type="dxa"/>
            <w:right w:w="108" w:type="dxa"/>
          </w:tblCellMar>
        </w:tblPrEx>
        <w:trPr>
          <w:trHeight w:val="245" w:hRule="atLeast"/>
          <w:jc w:val="center"/>
        </w:trPr>
        <w:tc>
          <w:tcPr>
            <w:tcW w:w="6251" w:type="dxa"/>
            <w:gridSpan w:val="2"/>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b/>
                <w:bCs/>
                <w:kern w:val="0"/>
                <w:sz w:val="22"/>
                <w:szCs w:val="22"/>
                <w:highlight w:val="none"/>
              </w:rPr>
              <w:t>栏次</w:t>
            </w:r>
          </w:p>
        </w:tc>
        <w:tc>
          <w:tcPr>
            <w:tcW w:w="1520"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1</w:t>
            </w:r>
          </w:p>
        </w:tc>
        <w:tc>
          <w:tcPr>
            <w:tcW w:w="1493"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2</w:t>
            </w:r>
          </w:p>
        </w:tc>
        <w:tc>
          <w:tcPr>
            <w:tcW w:w="920"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3</w:t>
            </w:r>
          </w:p>
        </w:tc>
        <w:tc>
          <w:tcPr>
            <w:tcW w:w="778"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4</w:t>
            </w:r>
          </w:p>
        </w:tc>
        <w:tc>
          <w:tcPr>
            <w:tcW w:w="694" w:type="dxa"/>
            <w:tcBorders>
              <w:top w:val="nil"/>
              <w:left w:val="nil"/>
              <w:bottom w:val="single" w:color="auto" w:sz="4" w:space="0"/>
              <w:right w:val="single" w:color="auto" w:sz="4" w:space="0"/>
            </w:tcBorders>
          </w:tcPr>
          <w:p>
            <w:pPr>
              <w:widowControl/>
              <w:ind w:firstLine="660" w:firstLineChars="300"/>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5</w:t>
            </w:r>
          </w:p>
        </w:tc>
        <w:tc>
          <w:tcPr>
            <w:tcW w:w="1320" w:type="dxa"/>
            <w:tcBorders>
              <w:top w:val="nil"/>
              <w:left w:val="nil"/>
              <w:bottom w:val="single" w:color="auto" w:sz="4" w:space="0"/>
              <w:right w:val="single" w:color="auto" w:sz="4" w:space="0"/>
            </w:tcBorders>
          </w:tcPr>
          <w:p>
            <w:pPr>
              <w:widowControl/>
              <w:ind w:firstLine="660" w:firstLineChars="300"/>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6</w:t>
            </w:r>
          </w:p>
        </w:tc>
        <w:tc>
          <w:tcPr>
            <w:tcW w:w="802"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7</w:t>
            </w:r>
          </w:p>
        </w:tc>
      </w:tr>
      <w:tr>
        <w:tblPrEx>
          <w:tblCellMar>
            <w:top w:w="0" w:type="dxa"/>
            <w:left w:w="108" w:type="dxa"/>
            <w:bottom w:w="0" w:type="dxa"/>
            <w:right w:w="108" w:type="dxa"/>
          </w:tblCellMar>
        </w:tblPrEx>
        <w:trPr>
          <w:trHeight w:val="184" w:hRule="atLeast"/>
          <w:jc w:val="center"/>
        </w:trPr>
        <w:tc>
          <w:tcPr>
            <w:tcW w:w="6251" w:type="dxa"/>
            <w:gridSpan w:val="2"/>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合计</w:t>
            </w:r>
          </w:p>
        </w:tc>
        <w:tc>
          <w:tcPr>
            <w:tcW w:w="1520" w:type="dxa"/>
            <w:tcBorders>
              <w:top w:val="nil"/>
              <w:left w:val="nil"/>
              <w:bottom w:val="single" w:color="auto" w:sz="4" w:space="0"/>
              <w:right w:val="single" w:color="auto" w:sz="4" w:space="0"/>
            </w:tcBorders>
          </w:tcPr>
          <w:p>
            <w:pPr>
              <w:widowControl/>
              <w:ind w:firstLine="440" w:firstLineChars="200"/>
              <w:jc w:val="both"/>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594.3</w:t>
            </w:r>
          </w:p>
        </w:tc>
        <w:tc>
          <w:tcPr>
            <w:tcW w:w="1493" w:type="dxa"/>
            <w:tcBorders>
              <w:top w:val="nil"/>
              <w:left w:val="nil"/>
              <w:bottom w:val="single" w:color="auto" w:sz="4" w:space="0"/>
              <w:right w:val="single" w:color="auto" w:sz="4" w:space="0"/>
            </w:tcBorders>
          </w:tcPr>
          <w:p>
            <w:pPr>
              <w:widowControl/>
              <w:jc w:val="center"/>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594.3</w:t>
            </w:r>
          </w:p>
        </w:tc>
        <w:tc>
          <w:tcPr>
            <w:tcW w:w="920"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778" w:type="dxa"/>
            <w:tcBorders>
              <w:top w:val="nil"/>
              <w:left w:val="nil"/>
              <w:bottom w:val="single" w:color="auto" w:sz="4" w:space="0"/>
              <w:right w:val="single" w:color="auto" w:sz="4" w:space="0"/>
            </w:tcBorders>
          </w:tcPr>
          <w:p>
            <w:pPr>
              <w:widowControl/>
              <w:ind w:firstLine="440" w:firstLineChars="2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694" w:type="dxa"/>
            <w:tcBorders>
              <w:top w:val="nil"/>
              <w:left w:val="nil"/>
              <w:bottom w:val="single" w:color="auto" w:sz="4" w:space="0"/>
              <w:right w:val="single" w:color="auto" w:sz="4" w:space="0"/>
            </w:tcBorders>
          </w:tcPr>
          <w:p>
            <w:pPr>
              <w:widowControl/>
              <w:ind w:firstLine="440" w:firstLineChars="2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1320"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802" w:type="dxa"/>
            <w:tcBorders>
              <w:top w:val="nil"/>
              <w:left w:val="nil"/>
              <w:bottom w:val="single" w:color="auto" w:sz="4" w:space="0"/>
              <w:right w:val="single" w:color="auto" w:sz="4" w:space="0"/>
            </w:tcBorders>
          </w:tcPr>
          <w:p>
            <w:pPr>
              <w:widowControl/>
              <w:ind w:firstLine="440" w:firstLineChars="2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45" w:hRule="atLeast"/>
          <w:jc w:val="center"/>
        </w:trPr>
        <w:tc>
          <w:tcPr>
            <w:tcW w:w="231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201</w:t>
            </w:r>
          </w:p>
        </w:tc>
        <w:tc>
          <w:tcPr>
            <w:tcW w:w="393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一般公共服务支出</w:t>
            </w: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rPr>
            </w:pPr>
            <w:r>
              <w:rPr>
                <w:rFonts w:hint="default" w:ascii="Times New Roman" w:hAnsi="Times New Roman" w:cs="Times New Roman"/>
                <w:i w:val="0"/>
                <w:iCs w:val="0"/>
                <w:color w:val="000000"/>
                <w:kern w:val="0"/>
                <w:sz w:val="21"/>
                <w:szCs w:val="21"/>
                <w:highlight w:val="none"/>
                <w:u w:val="none"/>
                <w:lang w:val="en-US" w:eastAsia="zh-CN" w:bidi="ar"/>
              </w:rPr>
              <w:t>471.63</w:t>
            </w:r>
          </w:p>
        </w:tc>
        <w:tc>
          <w:tcPr>
            <w:tcW w:w="14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cs="Times New Roman"/>
                <w:i w:val="0"/>
                <w:iCs w:val="0"/>
                <w:color w:val="000000"/>
                <w:kern w:val="0"/>
                <w:sz w:val="21"/>
                <w:szCs w:val="21"/>
                <w:highlight w:val="none"/>
                <w:u w:val="none"/>
                <w:lang w:val="en-US" w:eastAsia="zh-CN" w:bidi="ar"/>
              </w:rPr>
              <w:t>471.63</w:t>
            </w:r>
          </w:p>
        </w:tc>
        <w:tc>
          <w:tcPr>
            <w:tcW w:w="9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778" w:type="dxa"/>
            <w:tcBorders>
              <w:top w:val="nil"/>
              <w:left w:val="nil"/>
              <w:bottom w:val="single" w:color="auto" w:sz="4" w:space="0"/>
              <w:right w:val="single" w:color="auto" w:sz="4" w:space="0"/>
            </w:tcBorders>
          </w:tcPr>
          <w:p>
            <w:pPr>
              <w:widowControl/>
              <w:ind w:firstLine="840" w:firstLineChars="4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694"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802" w:type="dxa"/>
            <w:tcBorders>
              <w:top w:val="nil"/>
              <w:left w:val="nil"/>
              <w:bottom w:val="single" w:color="auto" w:sz="4" w:space="0"/>
              <w:right w:val="single" w:color="auto" w:sz="4" w:space="0"/>
            </w:tcBorders>
          </w:tcPr>
          <w:p>
            <w:pPr>
              <w:widowControl/>
              <w:ind w:firstLine="1050" w:firstLineChars="5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45" w:hRule="atLeast"/>
          <w:jc w:val="center"/>
        </w:trPr>
        <w:tc>
          <w:tcPr>
            <w:tcW w:w="231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20131</w:t>
            </w:r>
          </w:p>
        </w:tc>
        <w:tc>
          <w:tcPr>
            <w:tcW w:w="393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党委办公厅（室）及相关机构事务</w:t>
            </w: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rPr>
            </w:pPr>
            <w:r>
              <w:rPr>
                <w:rFonts w:hint="default" w:ascii="Times New Roman" w:hAnsi="Times New Roman" w:cs="Times New Roman"/>
                <w:i w:val="0"/>
                <w:iCs w:val="0"/>
                <w:color w:val="000000"/>
                <w:kern w:val="0"/>
                <w:sz w:val="21"/>
                <w:szCs w:val="21"/>
                <w:highlight w:val="none"/>
                <w:u w:val="none"/>
                <w:lang w:val="en-US" w:eastAsia="zh-CN" w:bidi="ar"/>
              </w:rPr>
              <w:t>227.75</w:t>
            </w:r>
          </w:p>
        </w:tc>
        <w:tc>
          <w:tcPr>
            <w:tcW w:w="14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cs="Times New Roman"/>
                <w:i w:val="0"/>
                <w:iCs w:val="0"/>
                <w:color w:val="000000"/>
                <w:kern w:val="0"/>
                <w:sz w:val="21"/>
                <w:szCs w:val="21"/>
                <w:highlight w:val="none"/>
                <w:u w:val="none"/>
                <w:lang w:val="en-US" w:eastAsia="zh-CN" w:bidi="ar"/>
              </w:rPr>
              <w:t>227.75</w:t>
            </w:r>
          </w:p>
        </w:tc>
        <w:tc>
          <w:tcPr>
            <w:tcW w:w="9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778" w:type="dxa"/>
            <w:tcBorders>
              <w:top w:val="nil"/>
              <w:left w:val="nil"/>
              <w:bottom w:val="single" w:color="auto" w:sz="4" w:space="0"/>
              <w:right w:val="single" w:color="auto" w:sz="4" w:space="0"/>
            </w:tcBorders>
          </w:tcPr>
          <w:p>
            <w:pPr>
              <w:widowControl/>
              <w:ind w:firstLine="840" w:firstLineChars="4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694"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802" w:type="dxa"/>
            <w:tcBorders>
              <w:top w:val="nil"/>
              <w:left w:val="nil"/>
              <w:bottom w:val="single" w:color="auto" w:sz="4" w:space="0"/>
              <w:right w:val="single" w:color="auto" w:sz="4" w:space="0"/>
            </w:tcBorders>
          </w:tcPr>
          <w:p>
            <w:pPr>
              <w:widowControl/>
              <w:ind w:firstLine="1050" w:firstLineChars="5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45" w:hRule="atLeast"/>
          <w:jc w:val="center"/>
        </w:trPr>
        <w:tc>
          <w:tcPr>
            <w:tcW w:w="231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2013101</w:t>
            </w:r>
          </w:p>
        </w:tc>
        <w:tc>
          <w:tcPr>
            <w:tcW w:w="393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行政运行</w:t>
            </w: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rPr>
            </w:pPr>
            <w:r>
              <w:rPr>
                <w:rFonts w:hint="default" w:ascii="Times New Roman" w:hAnsi="Times New Roman" w:cs="Times New Roman"/>
                <w:i w:val="0"/>
                <w:iCs w:val="0"/>
                <w:color w:val="000000"/>
                <w:kern w:val="0"/>
                <w:sz w:val="21"/>
                <w:szCs w:val="21"/>
                <w:highlight w:val="none"/>
                <w:u w:val="none"/>
                <w:lang w:val="en-US" w:eastAsia="zh-CN" w:bidi="ar"/>
              </w:rPr>
              <w:t>21.93</w:t>
            </w:r>
          </w:p>
        </w:tc>
        <w:tc>
          <w:tcPr>
            <w:tcW w:w="14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cs="Times New Roman"/>
                <w:i w:val="0"/>
                <w:iCs w:val="0"/>
                <w:color w:val="000000"/>
                <w:kern w:val="0"/>
                <w:sz w:val="21"/>
                <w:szCs w:val="21"/>
                <w:highlight w:val="none"/>
                <w:u w:val="none"/>
                <w:lang w:val="en-US" w:eastAsia="zh-CN" w:bidi="ar"/>
              </w:rPr>
              <w:t>21.93</w:t>
            </w:r>
          </w:p>
        </w:tc>
        <w:tc>
          <w:tcPr>
            <w:tcW w:w="9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778" w:type="dxa"/>
            <w:tcBorders>
              <w:top w:val="nil"/>
              <w:left w:val="nil"/>
              <w:bottom w:val="single" w:color="auto" w:sz="4" w:space="0"/>
              <w:right w:val="single" w:color="auto" w:sz="4" w:space="0"/>
            </w:tcBorders>
          </w:tcPr>
          <w:p>
            <w:pPr>
              <w:widowControl/>
              <w:ind w:firstLine="840" w:firstLineChars="4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694"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802" w:type="dxa"/>
            <w:tcBorders>
              <w:top w:val="nil"/>
              <w:left w:val="nil"/>
              <w:bottom w:val="single" w:color="auto" w:sz="4" w:space="0"/>
              <w:right w:val="single" w:color="auto" w:sz="4" w:space="0"/>
            </w:tcBorders>
          </w:tcPr>
          <w:p>
            <w:pPr>
              <w:widowControl/>
              <w:ind w:firstLine="1050" w:firstLineChars="5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45" w:hRule="atLeast"/>
          <w:jc w:val="center"/>
        </w:trPr>
        <w:tc>
          <w:tcPr>
            <w:tcW w:w="231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2013105</w:t>
            </w:r>
          </w:p>
        </w:tc>
        <w:tc>
          <w:tcPr>
            <w:tcW w:w="393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专项业务</w:t>
            </w: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rPr>
            </w:pPr>
            <w:r>
              <w:rPr>
                <w:rFonts w:hint="default" w:ascii="Times New Roman" w:hAnsi="Times New Roman" w:cs="Times New Roman"/>
                <w:i w:val="0"/>
                <w:iCs w:val="0"/>
                <w:color w:val="000000"/>
                <w:kern w:val="0"/>
                <w:sz w:val="21"/>
                <w:szCs w:val="21"/>
                <w:highlight w:val="none"/>
                <w:u w:val="none"/>
                <w:lang w:val="en-US" w:eastAsia="zh-CN" w:bidi="ar"/>
              </w:rPr>
              <w:t>174.40</w:t>
            </w:r>
          </w:p>
        </w:tc>
        <w:tc>
          <w:tcPr>
            <w:tcW w:w="14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cs="Times New Roman"/>
                <w:i w:val="0"/>
                <w:iCs w:val="0"/>
                <w:color w:val="000000"/>
                <w:kern w:val="0"/>
                <w:sz w:val="21"/>
                <w:szCs w:val="21"/>
                <w:highlight w:val="none"/>
                <w:u w:val="none"/>
                <w:lang w:val="en-US" w:eastAsia="zh-CN" w:bidi="ar"/>
              </w:rPr>
              <w:t>174.40</w:t>
            </w:r>
          </w:p>
        </w:tc>
        <w:tc>
          <w:tcPr>
            <w:tcW w:w="9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778"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694"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802"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45" w:hRule="atLeast"/>
          <w:jc w:val="center"/>
        </w:trPr>
        <w:tc>
          <w:tcPr>
            <w:tcW w:w="231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2013199</w:t>
            </w:r>
          </w:p>
        </w:tc>
        <w:tc>
          <w:tcPr>
            <w:tcW w:w="393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其他党委办公厅（室）及相关机构事务支出</w:t>
            </w: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rPr>
            </w:pPr>
            <w:r>
              <w:rPr>
                <w:rFonts w:hint="default" w:ascii="Times New Roman" w:hAnsi="Times New Roman" w:cs="Times New Roman"/>
                <w:i w:val="0"/>
                <w:iCs w:val="0"/>
                <w:color w:val="000000"/>
                <w:kern w:val="0"/>
                <w:sz w:val="21"/>
                <w:szCs w:val="21"/>
                <w:highlight w:val="none"/>
                <w:u w:val="none"/>
                <w:lang w:val="en-US" w:eastAsia="zh-CN" w:bidi="ar"/>
              </w:rPr>
              <w:t>28.42</w:t>
            </w:r>
          </w:p>
        </w:tc>
        <w:tc>
          <w:tcPr>
            <w:tcW w:w="14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cs="Times New Roman"/>
                <w:i w:val="0"/>
                <w:iCs w:val="0"/>
                <w:color w:val="000000"/>
                <w:kern w:val="0"/>
                <w:sz w:val="21"/>
                <w:szCs w:val="21"/>
                <w:highlight w:val="none"/>
                <w:u w:val="none"/>
                <w:lang w:val="en-US" w:eastAsia="zh-CN" w:bidi="ar"/>
              </w:rPr>
              <w:t>28.42</w:t>
            </w:r>
          </w:p>
        </w:tc>
        <w:tc>
          <w:tcPr>
            <w:tcW w:w="9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778"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694"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802"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45" w:hRule="atLeast"/>
          <w:jc w:val="center"/>
        </w:trPr>
        <w:tc>
          <w:tcPr>
            <w:tcW w:w="231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20136</w:t>
            </w:r>
          </w:p>
        </w:tc>
        <w:tc>
          <w:tcPr>
            <w:tcW w:w="393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其他共产党事务支出</w:t>
            </w: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rPr>
            </w:pPr>
            <w:r>
              <w:rPr>
                <w:rFonts w:hint="default" w:ascii="Times New Roman" w:hAnsi="Times New Roman" w:cs="Times New Roman"/>
                <w:i w:val="0"/>
                <w:iCs w:val="0"/>
                <w:color w:val="000000"/>
                <w:kern w:val="0"/>
                <w:sz w:val="21"/>
                <w:szCs w:val="21"/>
                <w:highlight w:val="none"/>
                <w:u w:val="none"/>
                <w:lang w:val="en-US" w:eastAsia="zh-CN" w:bidi="ar"/>
              </w:rPr>
              <w:t>244.74</w:t>
            </w:r>
          </w:p>
        </w:tc>
        <w:tc>
          <w:tcPr>
            <w:tcW w:w="14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cs="Times New Roman"/>
                <w:i w:val="0"/>
                <w:iCs w:val="0"/>
                <w:color w:val="000000"/>
                <w:kern w:val="0"/>
                <w:sz w:val="21"/>
                <w:szCs w:val="21"/>
                <w:highlight w:val="none"/>
                <w:u w:val="none"/>
                <w:lang w:val="en-US" w:eastAsia="zh-CN" w:bidi="ar"/>
              </w:rPr>
              <w:t>244.74</w:t>
            </w:r>
          </w:p>
        </w:tc>
        <w:tc>
          <w:tcPr>
            <w:tcW w:w="9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778"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694"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802"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45" w:hRule="atLeast"/>
          <w:jc w:val="center"/>
        </w:trPr>
        <w:tc>
          <w:tcPr>
            <w:tcW w:w="231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2013601</w:t>
            </w:r>
          </w:p>
        </w:tc>
        <w:tc>
          <w:tcPr>
            <w:tcW w:w="393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行政运行</w:t>
            </w: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rPr>
            </w:pPr>
            <w:r>
              <w:rPr>
                <w:rFonts w:hint="default" w:ascii="Times New Roman" w:hAnsi="Times New Roman" w:cs="Times New Roman"/>
                <w:i w:val="0"/>
                <w:iCs w:val="0"/>
                <w:color w:val="000000"/>
                <w:kern w:val="0"/>
                <w:sz w:val="21"/>
                <w:szCs w:val="21"/>
                <w:highlight w:val="none"/>
                <w:u w:val="none"/>
                <w:lang w:val="en-US" w:eastAsia="zh-CN" w:bidi="ar"/>
              </w:rPr>
              <w:t>244.74</w:t>
            </w:r>
          </w:p>
        </w:tc>
        <w:tc>
          <w:tcPr>
            <w:tcW w:w="14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cs="Times New Roman"/>
                <w:i w:val="0"/>
                <w:iCs w:val="0"/>
                <w:color w:val="000000"/>
                <w:kern w:val="0"/>
                <w:sz w:val="21"/>
                <w:szCs w:val="21"/>
                <w:highlight w:val="none"/>
                <w:u w:val="none"/>
                <w:lang w:val="en-US" w:eastAsia="zh-CN" w:bidi="ar"/>
              </w:rPr>
              <w:t>244.74</w:t>
            </w:r>
          </w:p>
        </w:tc>
        <w:tc>
          <w:tcPr>
            <w:tcW w:w="9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778"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694"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20"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802" w:type="dxa"/>
            <w:tcBorders>
              <w:top w:val="nil"/>
              <w:left w:val="nil"/>
              <w:bottom w:val="single" w:color="auto" w:sz="4" w:space="0"/>
              <w:right w:val="single" w:color="auto" w:sz="4" w:space="0"/>
            </w:tcBorders>
          </w:tcPr>
          <w:p>
            <w:pPr>
              <w:widowControl/>
              <w:ind w:firstLine="210" w:firstLineChars="100"/>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20137</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网信事务</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2.14</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2.14</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　</w:t>
            </w: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　</w:t>
            </w: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　</w:t>
            </w: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　</w:t>
            </w: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　</w:t>
            </w: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2013701</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1.71</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1.71</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2013750</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事业运行</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0.43</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0.43</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208</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66.22</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66.22</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20805</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66.22</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66.22</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2080501</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行政单位离退休</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11.2</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11.2</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2080505</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37.29</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37.29</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2080506</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机关事业单位职业年金缴费支出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17.72</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17.72</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210</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卫生健康支出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28.43</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28.43</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21011</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行政事业单位医疗</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28.43</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28.43</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2101101</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行政单位医疗</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11.96</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11.96</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2101102</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事业单位医疗</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1.11</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1.11</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2101103</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公务员医疗补助</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15.37</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15.37</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45"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221</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28.02</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28.02</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CellMar>
            <w:top w:w="0" w:type="dxa"/>
            <w:left w:w="108" w:type="dxa"/>
            <w:bottom w:w="0" w:type="dxa"/>
            <w:right w:w="108" w:type="dxa"/>
          </w:tblCellMar>
        </w:tblPrEx>
        <w:trPr>
          <w:trHeight w:val="272" w:hRule="atLeast"/>
          <w:jc w:val="center"/>
        </w:trPr>
        <w:tc>
          <w:tcPr>
            <w:tcW w:w="23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22102</w:t>
            </w:r>
          </w:p>
        </w:tc>
        <w:tc>
          <w:tcPr>
            <w:tcW w:w="39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28.02</w:t>
            </w:r>
          </w:p>
        </w:tc>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28.02</w:t>
            </w:r>
          </w:p>
        </w:tc>
        <w:tc>
          <w:tcPr>
            <w:tcW w:w="9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bl>
    <w:p>
      <w:pPr>
        <w:ind w:firstLine="840" w:firstLineChars="400"/>
        <w:rPr>
          <w:rFonts w:hint="default" w:ascii="Times New Roman" w:hAnsi="Times New Roman" w:cs="Times New Roman"/>
          <w:highlight w:val="none"/>
        </w:rPr>
      </w:pPr>
      <w:r>
        <w:rPr>
          <w:rFonts w:hint="default" w:ascii="Times New Roman" w:hAnsi="Times New Roman" w:cs="Times New Roman"/>
          <w:highlight w:val="none"/>
        </w:rPr>
        <w:t>注：本表反映部门本年度取得的各项收入情况。</w:t>
      </w:r>
    </w:p>
    <w:p>
      <w:pPr>
        <w:keepNext w:val="0"/>
        <w:keepLines w:val="0"/>
        <w:pageBreakBefore w:val="0"/>
        <w:widowControl w:val="0"/>
        <w:kinsoku/>
        <w:wordWrap/>
        <w:overflowPunct/>
        <w:topLinePunct w:val="0"/>
        <w:autoSpaceDE/>
        <w:autoSpaceDN/>
        <w:bidi w:val="0"/>
        <w:adjustRightInd/>
        <w:snapToGrid/>
        <w:spacing w:line="560" w:lineRule="exact"/>
        <w:ind w:firstLine="402" w:firstLineChars="200"/>
        <w:textAlignment w:val="auto"/>
        <w:rPr>
          <w:rFonts w:hint="default" w:ascii="Times New Roman" w:hAnsi="Times New Roman" w:cs="Times New Roman"/>
          <w:highlight w:val="none"/>
        </w:rPr>
      </w:pPr>
      <w:r>
        <w:rPr>
          <w:rFonts w:hint="default" w:ascii="Times New Roman" w:hAnsi="Times New Roman" w:eastAsia="仿宋_GB2312" w:cs="Times New Roman"/>
          <w:b/>
          <w:sz w:val="20"/>
          <w:szCs w:val="20"/>
          <w:highlight w:val="none"/>
        </w:rPr>
        <w:t>没有数据的表格要零报告，列出空表并在表格下方说明“”。</w:t>
      </w:r>
    </w:p>
    <w:p>
      <w:pPr>
        <w:rPr>
          <w:rFonts w:hint="default" w:ascii="Times New Roman" w:hAnsi="Times New Roman" w:cs="Times New Roman"/>
          <w:highlight w:val="none"/>
        </w:rPr>
        <w:sectPr>
          <w:pgSz w:w="16838" w:h="11906" w:orient="landscape"/>
          <w:pgMar w:top="1377" w:right="1440" w:bottom="1797" w:left="1440" w:header="851" w:footer="992" w:gutter="0"/>
          <w:pgNumType w:fmt="decimal"/>
          <w:cols w:space="720" w:num="1"/>
          <w:docGrid w:type="lines" w:linePitch="312" w:charSpace="0"/>
        </w:sectPr>
      </w:pPr>
    </w:p>
    <w:p>
      <w:pPr>
        <w:rPr>
          <w:rFonts w:hint="default" w:ascii="Times New Roman" w:hAnsi="Times New Roman" w:cs="Times New Roman"/>
          <w:highlight w:val="none"/>
        </w:rPr>
      </w:pPr>
    </w:p>
    <w:p>
      <w:pPr>
        <w:jc w:val="center"/>
        <w:rPr>
          <w:rFonts w:hint="default" w:ascii="Times New Roman" w:hAnsi="Times New Roman" w:cs="Times New Roman"/>
          <w:highlight w:val="none"/>
        </w:rPr>
      </w:pPr>
      <w:r>
        <w:rPr>
          <w:rFonts w:hint="default" w:ascii="Times New Roman" w:hAnsi="Times New Roman" w:eastAsia="方正小标宋简体" w:cs="Times New Roman"/>
          <w:kern w:val="0"/>
          <w:sz w:val="36"/>
          <w:szCs w:val="36"/>
          <w:highlight w:val="none"/>
        </w:rPr>
        <w:t>表三：支出决算表</w:t>
      </w:r>
    </w:p>
    <w:p>
      <w:pPr>
        <w:jc w:val="center"/>
        <w:rPr>
          <w:rFonts w:hint="default" w:ascii="Times New Roman" w:hAnsi="Times New Roman" w:cs="Times New Roman"/>
          <w:highlight w:val="none"/>
        </w:rPr>
      </w:pPr>
      <w:r>
        <w:rPr>
          <w:rFonts w:hint="default" w:ascii="Times New Roman" w:hAnsi="Times New Roman" w:cs="Times New Roman"/>
          <w:sz w:val="22"/>
          <w:szCs w:val="22"/>
          <w:highlight w:val="none"/>
          <w:lang w:val="en-US" w:eastAsia="zh-CN"/>
        </w:rPr>
        <w:t xml:space="preserve">                                                                                                                     </w:t>
      </w:r>
      <w:r>
        <w:rPr>
          <w:rFonts w:hint="default" w:ascii="Times New Roman" w:hAnsi="Times New Roman" w:cs="Times New Roman"/>
          <w:sz w:val="22"/>
          <w:szCs w:val="22"/>
          <w:highlight w:val="none"/>
        </w:rPr>
        <w:t>单位：万元</w:t>
      </w:r>
    </w:p>
    <w:tbl>
      <w:tblPr>
        <w:tblStyle w:val="5"/>
        <w:tblW w:w="14049" w:type="dxa"/>
        <w:jc w:val="center"/>
        <w:tblLayout w:type="fixed"/>
        <w:tblCellMar>
          <w:top w:w="0" w:type="dxa"/>
          <w:left w:w="108" w:type="dxa"/>
          <w:bottom w:w="0" w:type="dxa"/>
          <w:right w:w="108" w:type="dxa"/>
        </w:tblCellMar>
      </w:tblPr>
      <w:tblGrid>
        <w:gridCol w:w="1937"/>
        <w:gridCol w:w="4196"/>
        <w:gridCol w:w="1387"/>
        <w:gridCol w:w="1547"/>
        <w:gridCol w:w="1573"/>
        <w:gridCol w:w="1240"/>
        <w:gridCol w:w="773"/>
        <w:gridCol w:w="1396"/>
      </w:tblGrid>
      <w:tr>
        <w:tblPrEx>
          <w:tblCellMar>
            <w:top w:w="0" w:type="dxa"/>
            <w:left w:w="108" w:type="dxa"/>
            <w:bottom w:w="0" w:type="dxa"/>
            <w:right w:w="108" w:type="dxa"/>
          </w:tblCellMar>
        </w:tblPrEx>
        <w:trPr>
          <w:trHeight w:val="289" w:hRule="atLeast"/>
          <w:jc w:val="center"/>
        </w:trPr>
        <w:tc>
          <w:tcPr>
            <w:tcW w:w="613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支出功能项目</w:t>
            </w:r>
          </w:p>
        </w:tc>
        <w:tc>
          <w:tcPr>
            <w:tcW w:w="13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本年支出合计</w:t>
            </w:r>
          </w:p>
        </w:tc>
        <w:tc>
          <w:tcPr>
            <w:tcW w:w="15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基本支出</w:t>
            </w:r>
          </w:p>
        </w:tc>
        <w:tc>
          <w:tcPr>
            <w:tcW w:w="15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项目支出</w:t>
            </w:r>
          </w:p>
        </w:tc>
        <w:tc>
          <w:tcPr>
            <w:tcW w:w="12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上缴上级支出</w:t>
            </w:r>
          </w:p>
        </w:tc>
        <w:tc>
          <w:tcPr>
            <w:tcW w:w="7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经营支出</w:t>
            </w:r>
          </w:p>
        </w:tc>
        <w:tc>
          <w:tcPr>
            <w:tcW w:w="1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对附属单位补助支出</w:t>
            </w:r>
          </w:p>
        </w:tc>
      </w:tr>
      <w:tr>
        <w:tblPrEx>
          <w:tblCellMar>
            <w:top w:w="0" w:type="dxa"/>
            <w:left w:w="108" w:type="dxa"/>
            <w:bottom w:w="0" w:type="dxa"/>
            <w:right w:w="108" w:type="dxa"/>
          </w:tblCellMar>
        </w:tblPrEx>
        <w:trPr>
          <w:trHeight w:val="289" w:hRule="atLeast"/>
          <w:jc w:val="center"/>
        </w:trPr>
        <w:tc>
          <w:tcPr>
            <w:tcW w:w="193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支出功能分类科目编码</w:t>
            </w:r>
          </w:p>
        </w:tc>
        <w:tc>
          <w:tcPr>
            <w:tcW w:w="419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科目名称</w:t>
            </w:r>
          </w:p>
        </w:tc>
        <w:tc>
          <w:tcPr>
            <w:tcW w:w="13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highlight w:val="none"/>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1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highlight w:val="none"/>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highlight w:val="none"/>
              </w:rPr>
            </w:pPr>
          </w:p>
        </w:tc>
      </w:tr>
      <w:tr>
        <w:tblPrEx>
          <w:tblCellMar>
            <w:top w:w="0" w:type="dxa"/>
            <w:left w:w="108" w:type="dxa"/>
            <w:bottom w:w="0" w:type="dxa"/>
            <w:right w:w="108" w:type="dxa"/>
          </w:tblCellMar>
        </w:tblPrEx>
        <w:trPr>
          <w:trHeight w:val="392" w:hRule="atLeast"/>
          <w:jc w:val="center"/>
        </w:trPr>
        <w:tc>
          <w:tcPr>
            <w:tcW w:w="613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栏次</w:t>
            </w:r>
          </w:p>
        </w:tc>
        <w:tc>
          <w:tcPr>
            <w:tcW w:w="1387"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1</w:t>
            </w:r>
          </w:p>
        </w:tc>
        <w:tc>
          <w:tcPr>
            <w:tcW w:w="1547" w:type="dxa"/>
            <w:tcBorders>
              <w:top w:val="nil"/>
              <w:left w:val="nil"/>
              <w:bottom w:val="single" w:color="auto" w:sz="4" w:space="0"/>
              <w:right w:val="single" w:color="auto" w:sz="4" w:space="0"/>
            </w:tcBorders>
          </w:tcPr>
          <w:p>
            <w:pPr>
              <w:widowControl/>
              <w:ind w:firstLine="880" w:firstLineChars="400"/>
              <w:jc w:val="both"/>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2</w:t>
            </w:r>
          </w:p>
        </w:tc>
        <w:tc>
          <w:tcPr>
            <w:tcW w:w="1573"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3</w:t>
            </w:r>
          </w:p>
        </w:tc>
        <w:tc>
          <w:tcPr>
            <w:tcW w:w="1240"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4</w:t>
            </w:r>
          </w:p>
        </w:tc>
        <w:tc>
          <w:tcPr>
            <w:tcW w:w="773" w:type="dxa"/>
            <w:tcBorders>
              <w:top w:val="nil"/>
              <w:left w:val="nil"/>
              <w:bottom w:val="single" w:color="auto" w:sz="4" w:space="0"/>
              <w:right w:val="single" w:color="auto" w:sz="4" w:space="0"/>
            </w:tcBorders>
          </w:tcPr>
          <w:p>
            <w:pPr>
              <w:widowControl/>
              <w:jc w:val="center"/>
              <w:rPr>
                <w:rFonts w:hint="default"/>
                <w:highlight w:val="none"/>
                <w:lang w:val="en-US" w:eastAsia="zh-CN"/>
              </w:rPr>
            </w:pPr>
            <w:r>
              <w:rPr>
                <w:rFonts w:hint="eastAsia"/>
                <w:highlight w:val="none"/>
                <w:lang w:val="en-US" w:eastAsia="zh-CN"/>
              </w:rPr>
              <w:t>5</w:t>
            </w:r>
          </w:p>
        </w:tc>
        <w:tc>
          <w:tcPr>
            <w:tcW w:w="1396"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6</w:t>
            </w:r>
          </w:p>
        </w:tc>
      </w:tr>
      <w:tr>
        <w:tblPrEx>
          <w:tblCellMar>
            <w:top w:w="0" w:type="dxa"/>
            <w:left w:w="108" w:type="dxa"/>
            <w:bottom w:w="0" w:type="dxa"/>
            <w:right w:w="108" w:type="dxa"/>
          </w:tblCellMar>
        </w:tblPrEx>
        <w:trPr>
          <w:trHeight w:val="289" w:hRule="atLeast"/>
          <w:jc w:val="center"/>
        </w:trPr>
        <w:tc>
          <w:tcPr>
            <w:tcW w:w="613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kern w:val="0"/>
                <w:sz w:val="22"/>
                <w:szCs w:val="22"/>
                <w:highlight w:val="none"/>
              </w:rPr>
              <w:t>合计</w:t>
            </w:r>
          </w:p>
        </w:tc>
        <w:tc>
          <w:tcPr>
            <w:tcW w:w="1387"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552.71</w:t>
            </w:r>
          </w:p>
        </w:tc>
        <w:tc>
          <w:tcPr>
            <w:tcW w:w="1547"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355.19</w:t>
            </w:r>
          </w:p>
        </w:tc>
        <w:tc>
          <w:tcPr>
            <w:tcW w:w="1573"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197.52</w:t>
            </w:r>
          </w:p>
        </w:tc>
        <w:tc>
          <w:tcPr>
            <w:tcW w:w="1240" w:type="dxa"/>
            <w:tcBorders>
              <w:top w:val="nil"/>
              <w:left w:val="nil"/>
              <w:bottom w:val="single" w:color="auto" w:sz="4" w:space="0"/>
              <w:right w:val="single" w:color="auto" w:sz="4" w:space="0"/>
            </w:tcBorders>
          </w:tcPr>
          <w:p>
            <w:pPr>
              <w:widowControl/>
              <w:ind w:firstLine="440" w:firstLineChars="2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773" w:type="dxa"/>
            <w:tcBorders>
              <w:top w:val="nil"/>
              <w:left w:val="nil"/>
              <w:bottom w:val="single" w:color="auto" w:sz="4" w:space="0"/>
              <w:right w:val="single" w:color="auto" w:sz="4" w:space="0"/>
            </w:tcBorders>
          </w:tcPr>
          <w:p>
            <w:pPr>
              <w:widowControl/>
              <w:ind w:firstLine="880" w:firstLineChars="4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1396"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一般公共服务支出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437.63</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244.98</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192.65</w:t>
            </w: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20131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党委办公厅（室）及相关机构事务</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212.74</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20.09</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192.65</w:t>
            </w: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2013101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行政运行</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20.09</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20.09</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2013105</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专项业务</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164.28</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164.28</w:t>
            </w: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2013199</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其他党委办公厅（室）及相关机构事务支出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28.37</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28.37</w:t>
            </w: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20136</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其他共产党事务支出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222.09</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222.09</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2013601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行政运行</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222.09</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222.09</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20137</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网信事务</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2.80</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2.80</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2013701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行政运行</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1.71</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1.71</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2013750</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事业运行</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1.08</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1.08</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208</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社会保障和就业支出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53.64</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53.64</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20805</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行政事业单位养老支出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53.64</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53.64</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35"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2080501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行政单位离退休</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13.02</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13.02</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2080505</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机关事业单位基本养老保险缴费支出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27.65</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27.65</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highlight w:val="none"/>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22"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2080506</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机关事业单位职业年金缴费支出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12.97</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12.97</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33.42</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28.55</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4.87</w:t>
            </w: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21004</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公共卫生</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4.87</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4.87</w:t>
            </w: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2100409</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重大公共卫生服务</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4.87</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4.87</w:t>
            </w: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28.55</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28.55</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11.96</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11.96</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事业单位医疗</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1.23</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1.23</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2101103</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公务员医疗补助</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15.37</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15.37</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28.02</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28.02</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28.02</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28.02</w:t>
            </w:r>
          </w:p>
        </w:tc>
        <w:tc>
          <w:tcPr>
            <w:tcW w:w="157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4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13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28.02</w:t>
            </w:r>
          </w:p>
        </w:tc>
        <w:tc>
          <w:tcPr>
            <w:tcW w:w="15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000000"/>
                <w:kern w:val="0"/>
                <w:sz w:val="22"/>
                <w:szCs w:val="22"/>
              </w:rPr>
            </w:pPr>
            <w:r>
              <w:rPr>
                <w:rFonts w:hint="default" w:ascii="Times New Roman" w:hAnsi="Times New Roman" w:eastAsia="宋体" w:cs="Times New Roman"/>
                <w:b w:val="0"/>
                <w:bCs w:val="0"/>
                <w:i w:val="0"/>
                <w:iCs w:val="0"/>
                <w:color w:val="000000"/>
                <w:kern w:val="0"/>
                <w:sz w:val="20"/>
                <w:szCs w:val="20"/>
                <w:u w:val="none"/>
                <w:lang w:val="en-US" w:eastAsia="zh-CN" w:bidi="ar"/>
              </w:rPr>
              <w:t>28.02</w:t>
            </w:r>
          </w:p>
        </w:tc>
        <w:tc>
          <w:tcPr>
            <w:tcW w:w="1573" w:type="dxa"/>
            <w:tcBorders>
              <w:top w:val="single" w:color="auto" w:sz="4" w:space="0"/>
              <w:left w:val="single" w:color="auto" w:sz="4" w:space="0"/>
              <w:bottom w:val="single" w:color="auto" w:sz="4" w:space="0"/>
              <w:right w:val="single" w:color="auto" w:sz="4" w:space="0"/>
            </w:tcBorders>
            <w:vAlign w:val="bottom"/>
          </w:tcPr>
          <w:p>
            <w:pPr>
              <w:jc w:val="center"/>
              <w:rPr>
                <w:rFonts w:hint="default" w:ascii="Times New Roman" w:hAnsi="Times New Roman" w:cs="Times New Roman"/>
                <w:b w:val="0"/>
                <w:bCs w:val="0"/>
                <w:color w:val="000000"/>
                <w:kern w:val="0"/>
                <w:sz w:val="22"/>
                <w:szCs w:val="22"/>
              </w:rPr>
            </w:pPr>
          </w:p>
        </w:tc>
        <w:tc>
          <w:tcPr>
            <w:tcW w:w="1240"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773" w:type="dxa"/>
            <w:tcBorders>
              <w:top w:val="single" w:color="auto" w:sz="4" w:space="0"/>
              <w:left w:val="single" w:color="auto" w:sz="4" w:space="0"/>
              <w:bottom w:val="single" w:color="auto" w:sz="4" w:space="0"/>
              <w:right w:val="single" w:color="auto" w:sz="4" w:space="0"/>
            </w:tcBorders>
          </w:tcPr>
          <w:p>
            <w:pPr>
              <w:widowControl/>
              <w:ind w:firstLine="440" w:firstLineChars="200"/>
              <w:jc w:val="both"/>
              <w:rPr>
                <w:rFonts w:hint="default" w:ascii="Times New Roman" w:hAnsi="Times New Roman" w:cs="Times New Roman"/>
                <w:color w:val="000000"/>
                <w:kern w:val="0"/>
                <w:sz w:val="22"/>
                <w:szCs w:val="22"/>
              </w:rPr>
            </w:pPr>
          </w:p>
        </w:tc>
        <w:tc>
          <w:tcPr>
            <w:tcW w:w="1396" w:type="dxa"/>
            <w:tcBorders>
              <w:top w:val="single" w:color="auto" w:sz="4" w:space="0"/>
              <w:left w:val="single" w:color="auto" w:sz="4" w:space="0"/>
              <w:bottom w:val="single" w:color="auto" w:sz="4" w:space="0"/>
              <w:right w:val="single" w:color="auto" w:sz="4" w:space="0"/>
            </w:tcBorders>
          </w:tcPr>
          <w:p>
            <w:pPr>
              <w:widowControl/>
              <w:ind w:firstLine="220" w:firstLineChars="100"/>
              <w:jc w:val="both"/>
              <w:rPr>
                <w:rFonts w:hint="default" w:ascii="Times New Roman" w:hAnsi="Times New Roman" w:cs="Times New Roman"/>
                <w:color w:val="000000"/>
                <w:kern w:val="0"/>
                <w:sz w:val="22"/>
                <w:szCs w:val="22"/>
              </w:rPr>
            </w:pPr>
          </w:p>
        </w:tc>
      </w:tr>
    </w:tbl>
    <w:p>
      <w:pPr>
        <w:rPr>
          <w:rFonts w:hint="default" w:ascii="Times New Roman" w:hAnsi="Times New Roman" w:cs="Times New Roman"/>
        </w:rPr>
      </w:pPr>
    </w:p>
    <w:p>
      <w:pPr>
        <w:ind w:firstLine="840" w:firstLineChars="400"/>
        <w:rPr>
          <w:rFonts w:hint="default" w:ascii="Times New Roman" w:hAnsi="Times New Roman" w:cs="Times New Roman"/>
        </w:rPr>
      </w:pPr>
      <w:r>
        <w:rPr>
          <w:rFonts w:hint="default" w:ascii="Times New Roman" w:hAnsi="Times New Roman" w:cs="Times New Roman"/>
        </w:rPr>
        <w:t>注：本表反映部门本年度各项支出情况。</w:t>
      </w:r>
    </w:p>
    <w:p>
      <w:pPr>
        <w:rPr>
          <w:rFonts w:hint="default" w:ascii="Times New Roman" w:hAnsi="Times New Roman" w:cs="Times New Roman"/>
        </w:rPr>
      </w:pPr>
      <w:r>
        <w:rPr>
          <w:rFonts w:hint="default" w:ascii="Times New Roman" w:hAnsi="Times New Roman" w:cs="Times New Roman"/>
        </w:rPr>
        <w:br w:type="page"/>
      </w:r>
    </w:p>
    <w:p>
      <w:pPr>
        <w:rPr>
          <w:rFonts w:hint="default" w:ascii="Times New Roman" w:hAnsi="Times New Roman" w:cs="Times New Roman"/>
        </w:rPr>
      </w:pP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表四：财政拨款收入支出决算总表</w:t>
      </w:r>
    </w:p>
    <w:p>
      <w:pPr>
        <w:jc w:val="center"/>
        <w:rPr>
          <w:rFonts w:hint="default" w:ascii="Times New Roman" w:hAnsi="Times New Roman" w:eastAsia="方正小标宋简体" w:cs="Times New Roman"/>
          <w:kern w:val="0"/>
          <w:sz w:val="36"/>
          <w:szCs w:val="36"/>
        </w:rPr>
      </w:pP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单位：万元</w:t>
      </w:r>
    </w:p>
    <w:tbl>
      <w:tblPr>
        <w:tblStyle w:val="5"/>
        <w:tblW w:w="13765" w:type="dxa"/>
        <w:jc w:val="center"/>
        <w:tblLayout w:type="fixed"/>
        <w:tblCellMar>
          <w:top w:w="0" w:type="dxa"/>
          <w:left w:w="108" w:type="dxa"/>
          <w:bottom w:w="0" w:type="dxa"/>
          <w:right w:w="108" w:type="dxa"/>
        </w:tblCellMar>
      </w:tblPr>
      <w:tblGrid>
        <w:gridCol w:w="3500"/>
        <w:gridCol w:w="453"/>
        <w:gridCol w:w="1214"/>
        <w:gridCol w:w="3520"/>
        <w:gridCol w:w="706"/>
        <w:gridCol w:w="1294"/>
        <w:gridCol w:w="1466"/>
        <w:gridCol w:w="1612"/>
      </w:tblGrid>
      <w:tr>
        <w:tblPrEx>
          <w:tblCellMar>
            <w:top w:w="0" w:type="dxa"/>
            <w:left w:w="108" w:type="dxa"/>
            <w:bottom w:w="0" w:type="dxa"/>
            <w:right w:w="108" w:type="dxa"/>
          </w:tblCellMar>
        </w:tblPrEx>
        <w:trPr>
          <w:trHeight w:val="300" w:hRule="atLeast"/>
          <w:jc w:val="center"/>
        </w:trPr>
        <w:tc>
          <w:tcPr>
            <w:tcW w:w="5167"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收 入</w:t>
            </w:r>
          </w:p>
        </w:tc>
        <w:tc>
          <w:tcPr>
            <w:tcW w:w="8598" w:type="dxa"/>
            <w:gridSpan w:val="5"/>
            <w:tcBorders>
              <w:top w:val="single" w:color="auto" w:sz="4" w:space="0"/>
              <w:left w:val="nil"/>
              <w:bottom w:val="single" w:color="auto" w:sz="4" w:space="0"/>
              <w:right w:val="single" w:color="000000" w:sz="4" w:space="0"/>
            </w:tcBorders>
            <w:vAlign w:val="top"/>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支 出</w:t>
            </w:r>
          </w:p>
        </w:tc>
      </w:tr>
      <w:tr>
        <w:tblPrEx>
          <w:tblCellMar>
            <w:top w:w="0" w:type="dxa"/>
            <w:left w:w="108" w:type="dxa"/>
            <w:bottom w:w="0" w:type="dxa"/>
            <w:right w:w="108" w:type="dxa"/>
          </w:tblCellMar>
        </w:tblPrEx>
        <w:trPr>
          <w:trHeight w:val="732"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项 目</w:t>
            </w:r>
          </w:p>
        </w:tc>
        <w:tc>
          <w:tcPr>
            <w:tcW w:w="4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行次</w:t>
            </w:r>
          </w:p>
        </w:tc>
        <w:tc>
          <w:tcPr>
            <w:tcW w:w="121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金额</w:t>
            </w:r>
          </w:p>
        </w:tc>
        <w:tc>
          <w:tcPr>
            <w:tcW w:w="352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项 目</w:t>
            </w:r>
          </w:p>
        </w:tc>
        <w:tc>
          <w:tcPr>
            <w:tcW w:w="70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行次</w:t>
            </w:r>
          </w:p>
        </w:tc>
        <w:tc>
          <w:tcPr>
            <w:tcW w:w="129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合计</w:t>
            </w:r>
          </w:p>
        </w:tc>
        <w:tc>
          <w:tcPr>
            <w:tcW w:w="146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一般公共预算财政拨款</w:t>
            </w:r>
          </w:p>
        </w:tc>
        <w:tc>
          <w:tcPr>
            <w:tcW w:w="161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栏 次</w:t>
            </w:r>
          </w:p>
        </w:tc>
        <w:tc>
          <w:tcPr>
            <w:tcW w:w="453" w:type="dxa"/>
            <w:tcBorders>
              <w:top w:val="nil"/>
              <w:left w:val="nil"/>
              <w:bottom w:val="single" w:color="auto" w:sz="4" w:space="0"/>
              <w:right w:val="single" w:color="auto" w:sz="4" w:space="0"/>
            </w:tcBorders>
            <w:vAlign w:val="top"/>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14"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3520" w:type="dxa"/>
            <w:tcBorders>
              <w:top w:val="nil"/>
              <w:left w:val="nil"/>
              <w:bottom w:val="single" w:color="auto" w:sz="4" w:space="0"/>
              <w:right w:val="single" w:color="auto" w:sz="4" w:space="0"/>
            </w:tcBorders>
            <w:vAlign w:val="top"/>
          </w:tcPr>
          <w:p>
            <w:pPr>
              <w:widowControl/>
              <w:ind w:firstLine="880" w:firstLineChars="400"/>
              <w:jc w:val="left"/>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栏 次</w:t>
            </w:r>
          </w:p>
        </w:tc>
        <w:tc>
          <w:tcPr>
            <w:tcW w:w="706" w:type="dxa"/>
            <w:tcBorders>
              <w:top w:val="nil"/>
              <w:left w:val="nil"/>
              <w:bottom w:val="single" w:color="auto" w:sz="4" w:space="0"/>
              <w:right w:val="single" w:color="auto" w:sz="4" w:space="0"/>
            </w:tcBorders>
            <w:vAlign w:val="top"/>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94"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466"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612"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eastAsia="zh-CN"/>
              </w:rPr>
            </w:pPr>
            <w:r>
              <w:rPr>
                <w:rFonts w:hint="default" w:ascii="Times New Roman" w:hAnsi="Times New Roman" w:cs="Times New Roman"/>
                <w:kern w:val="0"/>
                <w:sz w:val="20"/>
                <w:szCs w:val="20"/>
              </w:rPr>
              <w:t>一、一般公共预算财政拨款</w:t>
            </w:r>
            <w:r>
              <w:rPr>
                <w:rFonts w:hint="default" w:ascii="Times New Roman" w:hAnsi="Times New Roman" w:cs="Times New Roman"/>
                <w:kern w:val="0"/>
                <w:sz w:val="20"/>
                <w:szCs w:val="20"/>
                <w:lang w:eastAsia="zh-CN"/>
              </w:rPr>
              <w:t>收入</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594.3</w:t>
            </w: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一、一般公共服务支出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32</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437.63</w:t>
            </w: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437.63</w:t>
            </w:r>
          </w:p>
        </w:tc>
        <w:tc>
          <w:tcPr>
            <w:tcW w:w="1612" w:type="dxa"/>
            <w:tcBorders>
              <w:top w:val="nil"/>
              <w:left w:val="nil"/>
              <w:bottom w:val="single" w:color="auto" w:sz="4" w:space="0"/>
              <w:right w:val="single" w:color="auto" w:sz="4" w:space="0"/>
            </w:tcBorders>
            <w:vAlign w:val="top"/>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eastAsia="zh-CN"/>
              </w:rPr>
            </w:pPr>
            <w:r>
              <w:rPr>
                <w:rFonts w:hint="default" w:ascii="Times New Roman" w:hAnsi="Times New Roman" w:cs="Times New Roman"/>
                <w:kern w:val="0"/>
                <w:sz w:val="20"/>
                <w:szCs w:val="20"/>
              </w:rPr>
              <w:t>二、政府性基金预算财政拨款</w:t>
            </w:r>
            <w:r>
              <w:rPr>
                <w:rFonts w:hint="default" w:ascii="Times New Roman" w:hAnsi="Times New Roman" w:cs="Times New Roman"/>
                <w:kern w:val="0"/>
                <w:sz w:val="20"/>
                <w:szCs w:val="20"/>
                <w:lang w:eastAsia="zh-CN"/>
              </w:rPr>
              <w:t>收入</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二、外交支出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33</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三、国防支出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34</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四、公共安全支出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35</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5</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五、教育支出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36</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6</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六、科学技术支出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37</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7</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七、文化旅游体育与传媒支出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38</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八、社会保障和就业支出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39</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53.64</w:t>
            </w: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53.64</w:t>
            </w:r>
          </w:p>
        </w:tc>
        <w:tc>
          <w:tcPr>
            <w:tcW w:w="1612"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九、卫生健康支出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40</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33.42</w:t>
            </w: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33.42</w:t>
            </w:r>
          </w:p>
        </w:tc>
        <w:tc>
          <w:tcPr>
            <w:tcW w:w="1612" w:type="dxa"/>
            <w:tcBorders>
              <w:top w:val="nil"/>
              <w:left w:val="nil"/>
              <w:bottom w:val="single" w:color="auto" w:sz="4" w:space="0"/>
              <w:right w:val="single" w:color="auto" w:sz="4" w:space="0"/>
            </w:tcBorders>
            <w:vAlign w:val="top"/>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10</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十、节能环保支出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41</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十一、城乡社区支出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42</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ind w:firstLine="1400" w:firstLineChars="700"/>
              <w:jc w:val="left"/>
              <w:rPr>
                <w:rFonts w:hint="default" w:ascii="Times New Roman" w:hAnsi="Times New Roman" w:cs="Times New Roman"/>
                <w:color w:val="000000"/>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12</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十二、农林水支出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lang w:val="en-US" w:eastAsia="zh-CN"/>
              </w:rPr>
            </w:pPr>
            <w:r>
              <w:rPr>
                <w:rFonts w:hint="default" w:ascii="Times New Roman" w:hAnsi="Times New Roman" w:eastAsia="宋体" w:cs="Times New Roman"/>
                <w:i w:val="0"/>
                <w:color w:val="000000"/>
                <w:kern w:val="0"/>
                <w:sz w:val="20"/>
                <w:szCs w:val="20"/>
                <w:u w:val="none"/>
                <w:lang w:val="en-US" w:eastAsia="zh-CN" w:bidi="ar"/>
              </w:rPr>
              <w:t>43</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十三、交通运输支出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44</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ind w:firstLine="1400" w:firstLineChars="700"/>
              <w:jc w:val="left"/>
              <w:rPr>
                <w:rFonts w:hint="default" w:ascii="Times New Roman" w:hAnsi="Times New Roman" w:cs="Times New Roman"/>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14</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十四、资源勘探信息等支出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45</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ind w:firstLine="1400" w:firstLineChars="700"/>
              <w:jc w:val="left"/>
              <w:rPr>
                <w:rFonts w:hint="default" w:ascii="Times New Roman" w:hAnsi="Times New Roman" w:cs="Times New Roman"/>
                <w:color w:val="000000"/>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十五、商业服务业等支出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46</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16</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十六、金融支出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47</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17</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十七、援助其他地区支出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48</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18</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十八、自然资源海洋气象等支出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49</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十九、住房保障支出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50</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28.02</w:t>
            </w: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28.02</w:t>
            </w: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20</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二十、粮油物资储备支出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51</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21</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二十一、灾害防治及应急管理支出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52</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22</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二十二、其他支出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53</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ind w:firstLine="1400" w:firstLineChars="700"/>
              <w:jc w:val="left"/>
              <w:rPr>
                <w:rFonts w:hint="default" w:ascii="Times New Roman" w:hAnsi="Times New Roman" w:eastAsia="宋体" w:cs="Times New Roman"/>
                <w:color w:val="000000"/>
                <w:kern w:val="0"/>
                <w:sz w:val="20"/>
                <w:szCs w:val="20"/>
                <w:lang w:val="en-US" w:eastAsia="zh-CN" w:bidi="ar-SA"/>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23</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二十三、债务还本支出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54</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eastAsia="宋体" w:cs="Times New Roman"/>
                <w:color w:val="000000"/>
                <w:kern w:val="0"/>
                <w:sz w:val="20"/>
                <w:szCs w:val="20"/>
                <w:lang w:val="en-US" w:eastAsia="zh-CN" w:bidi="ar-SA"/>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24</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二十四、债务付息支出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55</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ind w:firstLine="1400" w:firstLineChars="700"/>
              <w:jc w:val="left"/>
              <w:rPr>
                <w:rFonts w:hint="default" w:ascii="Times New Roman" w:hAnsi="Times New Roman" w:eastAsia="宋体" w:cs="Times New Roman"/>
                <w:kern w:val="0"/>
                <w:sz w:val="20"/>
                <w:szCs w:val="20"/>
                <w:lang w:val="en-US" w:eastAsia="zh-CN" w:bidi="ar-SA"/>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25</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val="en-US" w:eastAsia="zh-CN" w:bidi="ar-SA"/>
              </w:rPr>
            </w:pP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i w:val="0"/>
                <w:color w:val="000000"/>
                <w:kern w:val="0"/>
                <w:sz w:val="20"/>
                <w:szCs w:val="20"/>
                <w:u w:val="none"/>
                <w:lang w:val="en-US" w:eastAsia="zh-CN" w:bidi="ar"/>
              </w:rPr>
              <w:t>56</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本年收入合计</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26</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594.3</w:t>
            </w: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本年支出合计</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i w:val="0"/>
                <w:color w:val="000000"/>
                <w:kern w:val="0"/>
                <w:sz w:val="20"/>
                <w:szCs w:val="20"/>
                <w:u w:val="none"/>
                <w:lang w:val="en-US" w:eastAsia="zh-CN" w:bidi="ar"/>
              </w:rPr>
              <w:t>57</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552.71</w:t>
            </w: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552.71</w:t>
            </w: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ind w:firstLine="400" w:firstLineChars="200"/>
              <w:jc w:val="left"/>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年初财政拨款结转和结余</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27</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8.55</w:t>
            </w: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年末</w:t>
            </w:r>
            <w:r>
              <w:rPr>
                <w:rFonts w:hint="default" w:ascii="Times New Roman" w:hAnsi="Times New Roman" w:cs="Times New Roman"/>
                <w:kern w:val="0"/>
                <w:sz w:val="20"/>
                <w:szCs w:val="20"/>
                <w:lang w:eastAsia="zh-CN"/>
              </w:rPr>
              <w:t>财政拨款</w:t>
            </w:r>
            <w:r>
              <w:rPr>
                <w:rFonts w:hint="default" w:ascii="Times New Roman" w:hAnsi="Times New Roman" w:cs="Times New Roman"/>
                <w:kern w:val="0"/>
                <w:sz w:val="20"/>
                <w:szCs w:val="20"/>
              </w:rPr>
              <w:t>结转和结余</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i w:val="0"/>
                <w:color w:val="000000"/>
                <w:kern w:val="0"/>
                <w:sz w:val="20"/>
                <w:szCs w:val="20"/>
                <w:u w:val="none"/>
                <w:lang w:val="en-US" w:eastAsia="zh-CN" w:bidi="ar"/>
              </w:rPr>
              <w:t>58</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50.14</w:t>
            </w: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50.14</w:t>
            </w: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ind w:firstLine="400" w:firstLineChars="200"/>
              <w:jc w:val="left"/>
              <w:rPr>
                <w:rFonts w:hint="default" w:ascii="Times New Roman" w:hAnsi="Times New Roman" w:eastAsia="宋体" w:cs="Times New Roman"/>
                <w:kern w:val="0"/>
                <w:sz w:val="20"/>
                <w:szCs w:val="20"/>
                <w:lang w:val="en-US" w:eastAsia="zh-CN" w:bidi="ar-SA"/>
              </w:rPr>
            </w:pPr>
            <w:r>
              <w:rPr>
                <w:rFonts w:hint="default" w:ascii="Times New Roman" w:hAnsi="Times New Roman" w:cs="Times New Roman"/>
                <w:kern w:val="0"/>
                <w:sz w:val="20"/>
                <w:szCs w:val="20"/>
              </w:rPr>
              <w:t>一般公共预算财政拨款</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28</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8.55</w:t>
            </w: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color w:val="000000"/>
                <w:kern w:val="0"/>
                <w:sz w:val="20"/>
                <w:szCs w:val="20"/>
              </w:rPr>
              <w:t>　</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i w:val="0"/>
                <w:color w:val="000000"/>
                <w:kern w:val="0"/>
                <w:sz w:val="20"/>
                <w:szCs w:val="20"/>
                <w:u w:val="none"/>
                <w:lang w:val="en-US" w:eastAsia="zh-CN" w:bidi="ar"/>
              </w:rPr>
              <w:t>59</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ind w:firstLine="400" w:firstLineChars="200"/>
              <w:jc w:val="left"/>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政府性基金预算财政拨款</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29</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color w:val="000000"/>
                <w:kern w:val="0"/>
                <w:sz w:val="20"/>
                <w:szCs w:val="20"/>
              </w:rPr>
              <w:t>　</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i w:val="0"/>
                <w:color w:val="000000"/>
                <w:kern w:val="0"/>
                <w:sz w:val="20"/>
                <w:szCs w:val="20"/>
                <w:u w:val="none"/>
                <w:lang w:val="en-US" w:eastAsia="zh-CN" w:bidi="ar"/>
              </w:rPr>
              <w:t>60</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30</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0"/>
                <w:szCs w:val="20"/>
                <w:lang w:val="en-US"/>
              </w:rPr>
            </w:pPr>
            <w:r>
              <w:rPr>
                <w:rFonts w:hint="default" w:ascii="Times New Roman" w:hAnsi="Times New Roman" w:cs="Times New Roman"/>
                <w:i w:val="0"/>
                <w:color w:val="000000"/>
                <w:kern w:val="0"/>
                <w:sz w:val="20"/>
                <w:szCs w:val="20"/>
                <w:u w:val="none"/>
                <w:lang w:val="en-US" w:eastAsia="zh-CN" w:bidi="ar"/>
              </w:rPr>
              <w:t>61</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合计</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color w:val="000000"/>
                <w:kern w:val="0"/>
                <w:sz w:val="20"/>
                <w:szCs w:val="20"/>
                <w:lang w:val="en-US" w:eastAsia="zh-CN" w:bidi="ar-SA"/>
              </w:rPr>
              <w:t>31</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602.85</w:t>
            </w: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合计</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i w:val="0"/>
                <w:color w:val="000000"/>
                <w:kern w:val="0"/>
                <w:sz w:val="20"/>
                <w:szCs w:val="20"/>
                <w:u w:val="none"/>
                <w:lang w:val="en-US" w:eastAsia="zh-CN" w:bidi="ar"/>
              </w:rPr>
              <w:t>62</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602.85</w:t>
            </w: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602.85</w:t>
            </w: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r>
    </w:tbl>
    <w:p>
      <w:pPr>
        <w:ind w:firstLine="1050" w:firstLineChars="500"/>
        <w:rPr>
          <w:rFonts w:hint="default" w:ascii="Times New Roman" w:hAnsi="Times New Roman" w:cs="Times New Roman"/>
          <w:lang w:eastAsia="zh-CN"/>
        </w:rPr>
      </w:pPr>
      <w:r>
        <w:rPr>
          <w:rFonts w:hint="default" w:ascii="Times New Roman" w:hAnsi="Times New Roman" w:cs="Times New Roman"/>
          <w:lang w:eastAsia="zh-CN"/>
        </w:rPr>
        <w:t>注：本表反映部门本年度一般公共预算财政拨款和政府性基金预算财政拨款的总收支和年末结转结余情况。</w:t>
      </w:r>
    </w:p>
    <w:p>
      <w:pPr>
        <w:rPr>
          <w:rFonts w:hint="default" w:ascii="Times New Roman" w:hAnsi="Times New Roman" w:cs="Times New Roman"/>
        </w:rPr>
      </w:pPr>
      <w:r>
        <w:rPr>
          <w:rFonts w:hint="default" w:ascii="Times New Roman" w:hAnsi="Times New Roman" w:cs="Times New Roman"/>
          <w:lang w:eastAsia="zh-CN"/>
        </w:rPr>
        <w:br w:type="page"/>
      </w: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表五：</w:t>
      </w:r>
      <w:r>
        <w:rPr>
          <w:rFonts w:hint="default" w:ascii="Times New Roman" w:hAnsi="Times New Roman" w:eastAsia="方正小标宋简体" w:cs="Times New Roman"/>
          <w:sz w:val="36"/>
          <w:szCs w:val="36"/>
        </w:rPr>
        <w:t>一般</w:t>
      </w:r>
      <w:r>
        <w:rPr>
          <w:rFonts w:hint="default" w:ascii="Times New Roman" w:hAnsi="Times New Roman" w:eastAsia="方正小标宋简体" w:cs="Times New Roman"/>
          <w:kern w:val="0"/>
          <w:sz w:val="36"/>
          <w:szCs w:val="36"/>
        </w:rPr>
        <w:t>公共预算财政拨款支出决算表</w:t>
      </w:r>
    </w:p>
    <w:p>
      <w:pPr>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lang w:val="en-US" w:eastAsia="zh-CN"/>
        </w:rPr>
        <w:t xml:space="preserve">                                                                                                                 </w:t>
      </w:r>
      <w:r>
        <w:rPr>
          <w:rFonts w:hint="default" w:ascii="Times New Roman" w:hAnsi="Times New Roman" w:cs="Times New Roman"/>
          <w:kern w:val="0"/>
          <w:sz w:val="22"/>
          <w:szCs w:val="22"/>
        </w:rPr>
        <w:t>单位：万元</w:t>
      </w:r>
    </w:p>
    <w:tbl>
      <w:tblPr>
        <w:tblStyle w:val="5"/>
        <w:tblW w:w="13227" w:type="dxa"/>
        <w:jc w:val="center"/>
        <w:tblLayout w:type="fixed"/>
        <w:tblCellMar>
          <w:top w:w="0" w:type="dxa"/>
          <w:left w:w="108" w:type="dxa"/>
          <w:bottom w:w="0" w:type="dxa"/>
          <w:right w:w="108" w:type="dxa"/>
        </w:tblCellMar>
      </w:tblPr>
      <w:tblGrid>
        <w:gridCol w:w="2422"/>
        <w:gridCol w:w="4346"/>
        <w:gridCol w:w="1819"/>
        <w:gridCol w:w="2475"/>
        <w:gridCol w:w="2165"/>
      </w:tblGrid>
      <w:tr>
        <w:tblPrEx>
          <w:tblCellMar>
            <w:top w:w="0" w:type="dxa"/>
            <w:left w:w="108" w:type="dxa"/>
            <w:bottom w:w="0" w:type="dxa"/>
            <w:right w:w="108" w:type="dxa"/>
          </w:tblCellMar>
        </w:tblPrEx>
        <w:trPr>
          <w:trHeight w:val="300" w:hRule="atLeast"/>
          <w:jc w:val="center"/>
        </w:trPr>
        <w:tc>
          <w:tcPr>
            <w:tcW w:w="6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2"/>
                <w:szCs w:val="22"/>
              </w:rPr>
              <w:t>支出功能项目</w:t>
            </w:r>
          </w:p>
        </w:tc>
        <w:tc>
          <w:tcPr>
            <w:tcW w:w="18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合计</w:t>
            </w:r>
          </w:p>
        </w:tc>
        <w:tc>
          <w:tcPr>
            <w:tcW w:w="24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基本支出</w:t>
            </w:r>
          </w:p>
        </w:tc>
        <w:tc>
          <w:tcPr>
            <w:tcW w:w="21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项目支出</w:t>
            </w:r>
          </w:p>
        </w:tc>
      </w:tr>
      <w:tr>
        <w:tblPrEx>
          <w:tblCellMar>
            <w:top w:w="0" w:type="dxa"/>
            <w:left w:w="108" w:type="dxa"/>
            <w:bottom w:w="0" w:type="dxa"/>
            <w:right w:w="108" w:type="dxa"/>
          </w:tblCellMar>
        </w:tblPrEx>
        <w:trPr>
          <w:trHeight w:val="300" w:hRule="atLeast"/>
          <w:jc w:val="center"/>
        </w:trPr>
        <w:tc>
          <w:tcPr>
            <w:tcW w:w="2422" w:type="dxa"/>
            <w:tcBorders>
              <w:top w:val="nil"/>
              <w:left w:val="single" w:color="auto" w:sz="4" w:space="0"/>
              <w:bottom w:val="single" w:color="auto" w:sz="4" w:space="0"/>
              <w:right w:val="single" w:color="auto" w:sz="4" w:space="0"/>
            </w:tcBorders>
            <w:vAlign w:val="center"/>
          </w:tcPr>
          <w:p>
            <w:pPr>
              <w:widowControl/>
              <w:rPr>
                <w:rFonts w:hint="default" w:ascii="Times New Roman" w:hAnsi="Times New Roman" w:eastAsia="MingLiU" w:cs="Times New Roman"/>
                <w:kern w:val="0"/>
                <w:sz w:val="22"/>
                <w:szCs w:val="22"/>
              </w:rPr>
            </w:pPr>
            <w:r>
              <w:rPr>
                <w:rFonts w:hint="default" w:ascii="Times New Roman" w:hAnsi="Times New Roman" w:cs="Times New Roman"/>
                <w:kern w:val="0"/>
                <w:sz w:val="22"/>
                <w:szCs w:val="22"/>
              </w:rPr>
              <w:t>支出功能分类</w:t>
            </w:r>
            <w:r>
              <w:rPr>
                <w:rFonts w:hint="default" w:ascii="Times New Roman" w:hAnsi="Times New Roman" w:eastAsia="MingLiU" w:cs="Times New Roman"/>
                <w:kern w:val="0"/>
                <w:sz w:val="22"/>
                <w:szCs w:val="22"/>
              </w:rPr>
              <w:t>科目编码</w:t>
            </w:r>
          </w:p>
        </w:tc>
        <w:tc>
          <w:tcPr>
            <w:tcW w:w="434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科目名称</w:t>
            </w:r>
          </w:p>
        </w:tc>
        <w:tc>
          <w:tcPr>
            <w:tcW w:w="18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0"/>
                <w:szCs w:val="20"/>
              </w:rPr>
            </w:pPr>
          </w:p>
        </w:tc>
        <w:tc>
          <w:tcPr>
            <w:tcW w:w="24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0"/>
                <w:szCs w:val="20"/>
              </w:rPr>
            </w:pPr>
          </w:p>
        </w:tc>
        <w:tc>
          <w:tcPr>
            <w:tcW w:w="21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6768" w:type="dxa"/>
            <w:gridSpan w:val="2"/>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b/>
                <w:bCs/>
                <w:kern w:val="0"/>
                <w:sz w:val="18"/>
                <w:szCs w:val="18"/>
              </w:rPr>
              <w:t>栏次</w:t>
            </w:r>
          </w:p>
        </w:tc>
        <w:tc>
          <w:tcPr>
            <w:tcW w:w="1819"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w:t>
            </w:r>
          </w:p>
        </w:tc>
        <w:tc>
          <w:tcPr>
            <w:tcW w:w="2475"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2165"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6768" w:type="dxa"/>
            <w:gridSpan w:val="2"/>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合计</w:t>
            </w:r>
          </w:p>
        </w:tc>
        <w:tc>
          <w:tcPr>
            <w:tcW w:w="1819"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552.71</w:t>
            </w:r>
          </w:p>
        </w:tc>
        <w:tc>
          <w:tcPr>
            <w:tcW w:w="247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355.19</w:t>
            </w:r>
          </w:p>
        </w:tc>
        <w:tc>
          <w:tcPr>
            <w:tcW w:w="216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197.52</w:t>
            </w: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一般公共服务支出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437.63</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244.98</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192.65</w:t>
            </w: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20131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党委办公厅（室）及相关机构事务</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212.74</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20.09</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192.65</w:t>
            </w: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2013101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行政运行</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20.09</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20.09</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2013105</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专项业务</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164.28</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164.28</w:t>
            </w: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2013199</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其他党委办公厅（室）及相关机构事务支出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28.37</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28.37</w:t>
            </w: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20136</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其他共产党事务支出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222.09</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222.09</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2013601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行政运行</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222.09</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222.09</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20137</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网信事务</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2.80</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2.80</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2013701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行政运行</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1.71</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1.71</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2013750</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事业运行</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1.08</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1.08</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社会保障和就业支出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53.64</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53.64</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20805</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行政事业单位养老支出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53.64</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53.64</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2080501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行政单位离退休</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13.02</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13.02</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2080505</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机关事业单位基本养老保险缴费支出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27.65</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27.65</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2080506</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机关事业单位职业年金缴费支出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12.97</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12.97</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卫生健康支出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33.42</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28.55</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4.87</w:t>
            </w: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21004</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公共卫生</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4.87</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4.87</w:t>
            </w: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2100409</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重大公共卫生服务</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4.87</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4.87</w:t>
            </w: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21011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行政事业单位医疗</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28.55</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28.55</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2101101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行政单位医疗</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11.96</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11.96</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2101102</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事业单位医疗</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1.23</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1.23</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2101103</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公务员医疗补助</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15.37</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15.37</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住房保障支出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28.02</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28.02</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22102</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16"/>
                <w:szCs w:val="16"/>
              </w:rPr>
            </w:pPr>
            <w:r>
              <w:rPr>
                <w:rFonts w:hint="default" w:ascii="Times New Roman" w:hAnsi="Times New Roman" w:eastAsia="宋体" w:cs="Times New Roman"/>
                <w:i w:val="0"/>
                <w:iCs w:val="0"/>
                <w:color w:val="000000"/>
                <w:kern w:val="0"/>
                <w:sz w:val="20"/>
                <w:szCs w:val="20"/>
                <w:u w:val="none"/>
                <w:lang w:val="en-US" w:eastAsia="zh-CN" w:bidi="ar"/>
              </w:rPr>
              <w:t>住房改革支出</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28.02</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28.02</w:t>
            </w:r>
          </w:p>
        </w:tc>
        <w:tc>
          <w:tcPr>
            <w:tcW w:w="216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57" w:hRule="atLeast"/>
          <w:jc w:val="center"/>
        </w:trPr>
        <w:tc>
          <w:tcPr>
            <w:tcW w:w="2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2210201</w:t>
            </w:r>
          </w:p>
        </w:tc>
        <w:tc>
          <w:tcPr>
            <w:tcW w:w="43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住房公积金</w:t>
            </w:r>
          </w:p>
        </w:tc>
        <w:tc>
          <w:tcPr>
            <w:tcW w:w="181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28.02</w:t>
            </w:r>
          </w:p>
        </w:tc>
        <w:tc>
          <w:tcPr>
            <w:tcW w:w="2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28.02</w:t>
            </w:r>
          </w:p>
        </w:tc>
        <w:tc>
          <w:tcPr>
            <w:tcW w:w="2165" w:type="dxa"/>
            <w:tcBorders>
              <w:top w:val="single" w:color="auto" w:sz="4" w:space="0"/>
              <w:left w:val="single" w:color="auto" w:sz="4" w:space="0"/>
              <w:bottom w:val="single" w:color="auto" w:sz="4" w:space="0"/>
              <w:right w:val="single" w:color="auto" w:sz="4" w:space="0"/>
            </w:tcBorders>
            <w:vAlign w:val="bottom"/>
          </w:tcPr>
          <w:p>
            <w:pPr>
              <w:jc w:val="center"/>
              <w:rPr>
                <w:rFonts w:hint="default" w:ascii="Times New Roman" w:hAnsi="Times New Roman" w:cs="Times New Roman"/>
                <w:color w:val="000000"/>
                <w:kern w:val="0"/>
                <w:sz w:val="21"/>
                <w:szCs w:val="21"/>
              </w:rPr>
            </w:pPr>
          </w:p>
        </w:tc>
      </w:tr>
    </w:tbl>
    <w:p>
      <w:pPr>
        <w:rPr>
          <w:rFonts w:hint="default" w:ascii="Times New Roman" w:hAnsi="Times New Roman" w:cs="Times New Roman"/>
        </w:rPr>
      </w:pPr>
    </w:p>
    <w:p>
      <w:pPr>
        <w:ind w:firstLine="1050" w:firstLineChars="500"/>
        <w:rPr>
          <w:rFonts w:hint="default" w:ascii="Times New Roman" w:hAnsi="Times New Roman" w:cs="Times New Roman"/>
        </w:rPr>
      </w:pPr>
      <w:r>
        <w:rPr>
          <w:rFonts w:hint="default" w:ascii="Times New Roman" w:hAnsi="Times New Roman" w:cs="Times New Roman"/>
        </w:rPr>
        <w:t>注：本表反映部门本年度一般公共预算财政拨款实际支出情况。</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footerReference r:id="rId9" w:type="default"/>
          <w:footerReference r:id="rId10" w:type="even"/>
          <w:pgSz w:w="16838" w:h="11906" w:orient="landscape"/>
          <w:pgMar w:top="720" w:right="550" w:bottom="567" w:left="720" w:header="851" w:footer="992" w:gutter="0"/>
          <w:pgNumType w:fmt="decimal"/>
          <w:cols w:space="720" w:num="1"/>
          <w:docGrid w:type="lines" w:linePitch="312" w:charSpace="0"/>
        </w:sectPr>
      </w:pPr>
    </w:p>
    <w:p>
      <w:pPr>
        <w:jc w:val="center"/>
        <w:rPr>
          <w:rFonts w:hint="default" w:ascii="Times New Roman" w:hAnsi="Times New Roman" w:eastAsia="方正小标宋简体" w:cs="Times New Roman"/>
          <w:kern w:val="0"/>
          <w:sz w:val="36"/>
          <w:szCs w:val="36"/>
        </w:rPr>
      </w:pP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表六</w:t>
      </w:r>
      <w:r>
        <w:rPr>
          <w:rFonts w:hint="default" w:ascii="Times New Roman" w:hAnsi="Times New Roman" w:eastAsia="方正小标宋简体" w:cs="Times New Roman"/>
          <w:color w:val="000000"/>
          <w:kern w:val="0"/>
          <w:sz w:val="36"/>
          <w:szCs w:val="36"/>
        </w:rPr>
        <w:t>：</w:t>
      </w:r>
      <w:r>
        <w:rPr>
          <w:rFonts w:hint="default" w:ascii="Times New Roman" w:hAnsi="Times New Roman" w:eastAsia="方正小标宋简体" w:cs="Times New Roman"/>
          <w:color w:val="000000"/>
          <w:sz w:val="36"/>
          <w:szCs w:val="36"/>
        </w:rPr>
        <w:t>一般</w:t>
      </w:r>
      <w:r>
        <w:rPr>
          <w:rFonts w:hint="default" w:ascii="Times New Roman" w:hAnsi="Times New Roman" w:eastAsia="方正小标宋简体" w:cs="Times New Roman"/>
          <w:color w:val="000000"/>
          <w:kern w:val="0"/>
          <w:sz w:val="36"/>
          <w:szCs w:val="36"/>
        </w:rPr>
        <w:t>公共预算财政拨</w:t>
      </w:r>
      <w:r>
        <w:rPr>
          <w:rFonts w:hint="default" w:ascii="Times New Roman" w:hAnsi="Times New Roman" w:eastAsia="方正小标宋简体" w:cs="Times New Roman"/>
          <w:kern w:val="0"/>
          <w:sz w:val="36"/>
          <w:szCs w:val="36"/>
        </w:rPr>
        <w:t>款基本支出决算表</w:t>
      </w:r>
    </w:p>
    <w:p>
      <w:pPr>
        <w:ind w:right="330"/>
        <w:jc w:val="right"/>
        <w:rPr>
          <w:rFonts w:hint="default" w:ascii="Times New Roman" w:hAnsi="Times New Roman" w:cs="Times New Roman"/>
          <w:kern w:val="0"/>
          <w:sz w:val="22"/>
          <w:szCs w:val="22"/>
        </w:rPr>
      </w:pPr>
      <w:r>
        <w:rPr>
          <w:rFonts w:hint="eastAsia" w:cs="Times New Roman"/>
          <w:kern w:val="0"/>
          <w:sz w:val="22"/>
          <w:szCs w:val="22"/>
          <w:lang w:val="en-US" w:eastAsia="zh-CN"/>
        </w:rPr>
        <w:t xml:space="preserve">     </w:t>
      </w:r>
      <w:r>
        <w:rPr>
          <w:rFonts w:hint="default" w:ascii="Times New Roman" w:hAnsi="Times New Roman" w:cs="Times New Roman"/>
          <w:kern w:val="0"/>
          <w:sz w:val="22"/>
          <w:szCs w:val="22"/>
        </w:rPr>
        <w:t>单位：万元</w:t>
      </w:r>
    </w:p>
    <w:tbl>
      <w:tblPr>
        <w:tblStyle w:val="5"/>
        <w:tblW w:w="9151" w:type="dxa"/>
        <w:jc w:val="center"/>
        <w:tblLayout w:type="fixed"/>
        <w:tblCellMar>
          <w:top w:w="0" w:type="dxa"/>
          <w:left w:w="108" w:type="dxa"/>
          <w:bottom w:w="0" w:type="dxa"/>
          <w:right w:w="108" w:type="dxa"/>
        </w:tblCellMar>
      </w:tblPr>
      <w:tblGrid>
        <w:gridCol w:w="916"/>
        <w:gridCol w:w="3130"/>
        <w:gridCol w:w="941"/>
        <w:gridCol w:w="849"/>
        <w:gridCol w:w="2224"/>
        <w:gridCol w:w="1091"/>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公用经费</w:t>
            </w:r>
          </w:p>
        </w:tc>
      </w:tr>
      <w:tr>
        <w:tblPrEx>
          <w:tblCellMar>
            <w:top w:w="0" w:type="dxa"/>
            <w:left w:w="108" w:type="dxa"/>
            <w:bottom w:w="0" w:type="dxa"/>
            <w:right w:w="108" w:type="dxa"/>
          </w:tblCellMar>
        </w:tblPrEx>
        <w:trPr>
          <w:trHeight w:val="312" w:hRule="atLeast"/>
          <w:jc w:val="center"/>
        </w:trPr>
        <w:tc>
          <w:tcPr>
            <w:tcW w:w="916"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支出经济分类科目编码</w:t>
            </w:r>
          </w:p>
        </w:tc>
        <w:tc>
          <w:tcPr>
            <w:tcW w:w="31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科目名称</w:t>
            </w:r>
          </w:p>
        </w:tc>
        <w:tc>
          <w:tcPr>
            <w:tcW w:w="9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lang w:eastAsia="zh-CN"/>
              </w:rPr>
              <w:t>金额</w:t>
            </w:r>
          </w:p>
        </w:tc>
        <w:tc>
          <w:tcPr>
            <w:tcW w:w="8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经济分类科目编码</w:t>
            </w:r>
          </w:p>
        </w:tc>
        <w:tc>
          <w:tcPr>
            <w:tcW w:w="2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科目名称</w:t>
            </w:r>
          </w:p>
        </w:tc>
        <w:tc>
          <w:tcPr>
            <w:tcW w:w="10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工资福利支出</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310.</w:t>
            </w:r>
            <w:r>
              <w:rPr>
                <w:rFonts w:hint="eastAsia" w:cs="Times New Roman"/>
                <w:color w:val="000000"/>
                <w:kern w:val="0"/>
                <w:sz w:val="22"/>
                <w:szCs w:val="22"/>
                <w:lang w:val="en-US" w:eastAsia="zh-CN"/>
              </w:rPr>
              <w:t>25</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商品和服务支出</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33.2</w:t>
            </w:r>
            <w:r>
              <w:rPr>
                <w:rFonts w:hint="eastAsia" w:cs="Times New Roman"/>
                <w:color w:val="000000"/>
                <w:kern w:val="0"/>
                <w:sz w:val="22"/>
                <w:szCs w:val="22"/>
                <w:lang w:val="en-US" w:eastAsia="zh-CN"/>
              </w:rPr>
              <w:t>2</w:t>
            </w:r>
          </w:p>
        </w:tc>
      </w:tr>
      <w:tr>
        <w:tblPrEx>
          <w:tblCellMar>
            <w:top w:w="0" w:type="dxa"/>
            <w:left w:w="108" w:type="dxa"/>
            <w:bottom w:w="0" w:type="dxa"/>
            <w:right w:w="108" w:type="dxa"/>
          </w:tblCellMar>
        </w:tblPrEx>
        <w:trPr>
          <w:trHeight w:val="339"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30101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基本工资</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66.7</w:t>
            </w:r>
            <w:r>
              <w:rPr>
                <w:rFonts w:hint="eastAsia" w:cs="Times New Roman"/>
                <w:color w:val="000000"/>
                <w:kern w:val="0"/>
                <w:sz w:val="22"/>
                <w:szCs w:val="22"/>
                <w:lang w:val="en-US" w:eastAsia="zh-CN"/>
              </w:rPr>
              <w:t>5</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30201</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办公费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w:t>
            </w:r>
            <w:r>
              <w:rPr>
                <w:rFonts w:hint="eastAsia" w:cs="Times New Roman"/>
                <w:color w:val="000000"/>
                <w:kern w:val="0"/>
                <w:sz w:val="22"/>
                <w:szCs w:val="22"/>
                <w:lang w:val="en-US" w:eastAsia="zh-CN"/>
              </w:rPr>
              <w:t>69</w:t>
            </w:r>
          </w:p>
        </w:tc>
      </w:tr>
      <w:tr>
        <w:tblPrEx>
          <w:tblCellMar>
            <w:top w:w="0" w:type="dxa"/>
            <w:left w:w="108" w:type="dxa"/>
            <w:bottom w:w="0" w:type="dxa"/>
            <w:right w:w="108" w:type="dxa"/>
          </w:tblCellMar>
        </w:tblPrEx>
        <w:trPr>
          <w:trHeight w:val="352"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30102</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津贴补贴</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52.3</w:t>
            </w:r>
            <w:r>
              <w:rPr>
                <w:rFonts w:hint="eastAsia" w:cs="Times New Roman"/>
                <w:color w:val="000000"/>
                <w:kern w:val="0"/>
                <w:sz w:val="22"/>
                <w:szCs w:val="22"/>
                <w:lang w:val="en-US" w:eastAsia="zh-CN"/>
              </w:rPr>
              <w:t>2</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30202</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印刷费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0.4</w:t>
            </w:r>
            <w:r>
              <w:rPr>
                <w:rFonts w:hint="eastAsia" w:cs="Times New Roman"/>
                <w:color w:val="000000"/>
                <w:kern w:val="0"/>
                <w:sz w:val="22"/>
                <w:szCs w:val="22"/>
                <w:lang w:val="en-US" w:eastAsia="zh-CN"/>
              </w:rPr>
              <w:t>1</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30103</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奖金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71.6</w:t>
            </w:r>
            <w:r>
              <w:rPr>
                <w:rFonts w:hint="eastAsia" w:cs="Times New Roman"/>
                <w:color w:val="000000"/>
                <w:kern w:val="0"/>
                <w:sz w:val="22"/>
                <w:szCs w:val="22"/>
                <w:lang w:val="en-US" w:eastAsia="zh-CN"/>
              </w:rPr>
              <w:t>2</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30203</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咨询费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30106</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伙食补助费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30204</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手续费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30107</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绩效工资</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9.3</w:t>
            </w:r>
            <w:r>
              <w:rPr>
                <w:rFonts w:hint="eastAsia" w:cs="Times New Roman"/>
                <w:color w:val="000000"/>
                <w:kern w:val="0"/>
                <w:sz w:val="22"/>
                <w:szCs w:val="22"/>
                <w:lang w:val="en-US" w:eastAsia="zh-CN"/>
              </w:rPr>
              <w:t>5</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30205</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水费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0.1</w:t>
            </w:r>
            <w:r>
              <w:rPr>
                <w:rFonts w:hint="eastAsia" w:cs="Times New Roman"/>
                <w:color w:val="000000"/>
                <w:kern w:val="0"/>
                <w:sz w:val="22"/>
                <w:szCs w:val="22"/>
                <w:lang w:val="en-US" w:eastAsia="zh-CN"/>
              </w:rPr>
              <w:t>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30108</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0"/>
                <w:szCs w:val="20"/>
                <w:lang w:val="en-US" w:eastAsia="zh-CN"/>
              </w:rPr>
              <w:t>机关事业单位基本养老保险缴费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27.6</w:t>
            </w:r>
            <w:r>
              <w:rPr>
                <w:rFonts w:hint="eastAsia" w:cs="Times New Roman"/>
                <w:color w:val="000000"/>
                <w:kern w:val="0"/>
                <w:sz w:val="22"/>
                <w:szCs w:val="22"/>
                <w:lang w:val="en-US" w:eastAsia="zh-CN"/>
              </w:rPr>
              <w:t>5</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30206</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电费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eastAsia" w:cs="Times New Roman"/>
                <w:color w:val="000000"/>
                <w:kern w:val="0"/>
                <w:sz w:val="22"/>
                <w:szCs w:val="22"/>
                <w:lang w:val="en-US" w:eastAsia="zh-CN"/>
              </w:rPr>
              <w:t>2.97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30109</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职业年金缴费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w:t>
            </w:r>
            <w:r>
              <w:rPr>
                <w:rFonts w:hint="eastAsia" w:cs="Times New Roman"/>
                <w:color w:val="000000"/>
                <w:kern w:val="0"/>
                <w:sz w:val="22"/>
                <w:szCs w:val="22"/>
                <w:lang w:val="en-US" w:eastAsia="zh-CN"/>
              </w:rPr>
              <w:t>2.97</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30207</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邮电费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4.</w:t>
            </w:r>
            <w:r>
              <w:rPr>
                <w:rFonts w:hint="eastAsia" w:cs="Times New Roman"/>
                <w:color w:val="000000"/>
                <w:kern w:val="0"/>
                <w:sz w:val="22"/>
                <w:szCs w:val="22"/>
                <w:lang w:val="en-US" w:eastAsia="zh-CN"/>
              </w:rPr>
              <w:t>28</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30110</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职工基本医疗保险缴费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13.</w:t>
            </w:r>
            <w:r>
              <w:rPr>
                <w:rFonts w:hint="eastAsia" w:cs="Times New Roman"/>
                <w:color w:val="000000"/>
                <w:kern w:val="0"/>
                <w:sz w:val="22"/>
                <w:szCs w:val="22"/>
                <w:lang w:val="en-US" w:eastAsia="zh-CN"/>
              </w:rPr>
              <w:t>07</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30208</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取暖费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30111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公务员医疗补助缴费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15.</w:t>
            </w:r>
            <w:r>
              <w:rPr>
                <w:rFonts w:hint="eastAsia" w:cs="Times New Roman"/>
                <w:color w:val="000000"/>
                <w:kern w:val="0"/>
                <w:sz w:val="22"/>
                <w:szCs w:val="22"/>
                <w:lang w:val="en-US" w:eastAsia="zh-CN"/>
              </w:rPr>
              <w:t>37</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30209</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物业管理费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0.</w:t>
            </w:r>
            <w:r>
              <w:rPr>
                <w:rFonts w:hint="eastAsia" w:cs="Times New Roman"/>
                <w:color w:val="000000"/>
                <w:kern w:val="0"/>
                <w:sz w:val="22"/>
                <w:szCs w:val="22"/>
                <w:lang w:val="en-US" w:eastAsia="zh-CN"/>
              </w:rPr>
              <w:t>29</w:t>
            </w:r>
          </w:p>
        </w:tc>
      </w:tr>
      <w:tr>
        <w:tblPrEx>
          <w:tblCellMar>
            <w:top w:w="0" w:type="dxa"/>
            <w:left w:w="108" w:type="dxa"/>
            <w:bottom w:w="0" w:type="dxa"/>
            <w:right w:w="108" w:type="dxa"/>
          </w:tblCellMar>
        </w:tblPrEx>
        <w:trPr>
          <w:trHeight w:val="90"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30112</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其他社会保障缴费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0.3</w:t>
            </w:r>
            <w:r>
              <w:rPr>
                <w:rFonts w:hint="eastAsia" w:cs="Times New Roman"/>
                <w:color w:val="000000"/>
                <w:kern w:val="0"/>
                <w:sz w:val="22"/>
                <w:szCs w:val="22"/>
                <w:lang w:val="en-US" w:eastAsia="zh-CN"/>
              </w:rPr>
              <w:t>3</w:t>
            </w:r>
            <w:bookmarkStart w:id="0" w:name="_GoBack"/>
            <w:bookmarkEnd w:id="0"/>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30211</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差旅费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5.</w:t>
            </w:r>
            <w:r>
              <w:rPr>
                <w:rFonts w:hint="eastAsia" w:cs="Times New Roman"/>
                <w:color w:val="000000"/>
                <w:kern w:val="0"/>
                <w:sz w:val="22"/>
                <w:szCs w:val="22"/>
                <w:lang w:val="en-US" w:eastAsia="zh-CN"/>
              </w:rPr>
              <w:t>43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30113</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住房公积金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28</w:t>
            </w:r>
            <w:r>
              <w:rPr>
                <w:rFonts w:hint="eastAsia" w:cs="Times New Roman"/>
                <w:color w:val="000000"/>
                <w:kern w:val="0"/>
                <w:sz w:val="22"/>
                <w:szCs w:val="22"/>
                <w:lang w:val="en-US" w:eastAsia="zh-CN"/>
              </w:rPr>
              <w:t>.02</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30212</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因公出国（境）费用</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357"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30114</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医疗费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eastAsia" w:cs="Times New Roman"/>
                <w:color w:val="000000"/>
                <w:kern w:val="0"/>
                <w:sz w:val="22"/>
                <w:szCs w:val="22"/>
                <w:lang w:val="en-US" w:eastAsia="zh-CN"/>
              </w:rPr>
              <w:t>0.12</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30213</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维修（护）费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0.</w:t>
            </w:r>
            <w:r>
              <w:rPr>
                <w:rFonts w:hint="eastAsia" w:cs="Times New Roman"/>
                <w:color w:val="000000"/>
                <w:kern w:val="0"/>
                <w:sz w:val="22"/>
                <w:szCs w:val="22"/>
                <w:lang w:val="en-US" w:eastAsia="zh-CN"/>
              </w:rPr>
              <w:t>16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30199</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其他工资福利支出</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12.7</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30214</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租赁费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对个人和家庭的补助</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11.7</w:t>
            </w:r>
            <w:r>
              <w:rPr>
                <w:rFonts w:hint="eastAsia" w:cs="Times New Roman"/>
                <w:color w:val="000000"/>
                <w:kern w:val="0"/>
                <w:sz w:val="22"/>
                <w:szCs w:val="22"/>
                <w:lang w:val="en-US" w:eastAsia="zh-CN"/>
              </w:rPr>
              <w:t>2</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30215</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会议费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0.2</w:t>
            </w:r>
            <w:r>
              <w:rPr>
                <w:rFonts w:hint="eastAsia" w:cs="Times New Roman"/>
                <w:color w:val="000000"/>
                <w:kern w:val="0"/>
                <w:sz w:val="22"/>
                <w:szCs w:val="22"/>
                <w:lang w:val="en-US" w:eastAsia="zh-CN"/>
              </w:rPr>
              <w:t>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30301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离休费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30216</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培训费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0.</w:t>
            </w:r>
            <w:r>
              <w:rPr>
                <w:rFonts w:hint="eastAsia" w:cs="Times New Roman"/>
                <w:color w:val="000000"/>
                <w:kern w:val="0"/>
                <w:sz w:val="22"/>
                <w:szCs w:val="22"/>
                <w:lang w:val="en-US" w:eastAsia="zh-CN"/>
              </w:rPr>
              <w:t>36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30302</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退休费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11.7</w:t>
            </w:r>
            <w:r>
              <w:rPr>
                <w:rFonts w:hint="eastAsia" w:cs="Times New Roman"/>
                <w:color w:val="000000"/>
                <w:kern w:val="0"/>
                <w:sz w:val="22"/>
                <w:szCs w:val="22"/>
                <w:lang w:val="en-US" w:eastAsia="zh-CN"/>
              </w:rPr>
              <w:t>2</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30217</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公务接待费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0.</w:t>
            </w:r>
            <w:r>
              <w:rPr>
                <w:rFonts w:hint="eastAsia" w:cs="Times New Roman"/>
                <w:color w:val="000000"/>
                <w:kern w:val="0"/>
                <w:sz w:val="22"/>
                <w:szCs w:val="22"/>
                <w:lang w:val="en-US" w:eastAsia="zh-CN"/>
              </w:rPr>
              <w:t>48</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30303</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退职（役）费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30218</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专用材料费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30304</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抚恤金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30224</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被装购置费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30305</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生活补助</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30225</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专用燃料费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30306</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救济费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30226</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劳务费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0.2</w:t>
            </w:r>
            <w:r>
              <w:rPr>
                <w:rFonts w:hint="eastAsia" w:cs="Times New Roman"/>
                <w:color w:val="000000"/>
                <w:kern w:val="0"/>
                <w:sz w:val="22"/>
                <w:szCs w:val="22"/>
                <w:lang w:val="en-US" w:eastAsia="zh-CN"/>
              </w:rPr>
              <w:t>1</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30307</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医疗费补助</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30227</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委托业务费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30308</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助学金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30228</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工会经费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4.6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30309</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奖励金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30229</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福利费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30310</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个人农业生产补贴</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30231</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公务用车运行维护费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30311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代缴社会保险费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30239</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其他交通费用</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val="en-US" w:eastAsia="zh-CN"/>
              </w:rPr>
              <w:t>30399</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val="en-US" w:eastAsia="zh-CN"/>
              </w:rPr>
              <w:t>其他对个人和家庭的补助</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30240</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税金及附加费用</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30299</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其他商品和服务支出</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2"/>
                <w:szCs w:val="22"/>
                <w:lang w:val="en-US" w:eastAsia="zh-CN"/>
              </w:rPr>
            </w:pPr>
            <w:r>
              <w:rPr>
                <w:rFonts w:hint="eastAsia" w:cs="Times New Roman"/>
                <w:color w:val="000000"/>
                <w:kern w:val="0"/>
                <w:sz w:val="22"/>
                <w:szCs w:val="22"/>
                <w:lang w:val="en-US" w:eastAsia="zh-CN"/>
              </w:rPr>
              <w:t>9.97</w:t>
            </w:r>
          </w:p>
        </w:tc>
      </w:tr>
      <w:tr>
        <w:tblPrEx>
          <w:tblCellMar>
            <w:top w:w="0" w:type="dxa"/>
            <w:left w:w="108" w:type="dxa"/>
            <w:bottom w:w="0" w:type="dxa"/>
            <w:right w:w="108" w:type="dxa"/>
          </w:tblCellMar>
        </w:tblPrEx>
        <w:trPr>
          <w:trHeight w:val="266" w:hRule="atLeast"/>
          <w:jc w:val="center"/>
        </w:trPr>
        <w:tc>
          <w:tcPr>
            <w:tcW w:w="4046"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eastAsia="zh-CN"/>
              </w:rPr>
              <w:t>人员经费合计</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val="en-US" w:eastAsia="zh-CN" w:bidi="ar-SA"/>
              </w:rPr>
              <w:t>32</w:t>
            </w:r>
            <w:r>
              <w:rPr>
                <w:rFonts w:hint="eastAsia" w:cs="Times New Roman"/>
                <w:color w:val="000000"/>
                <w:kern w:val="0"/>
                <w:sz w:val="22"/>
                <w:szCs w:val="22"/>
                <w:lang w:val="en-US" w:eastAsia="zh-CN" w:bidi="ar-SA"/>
              </w:rPr>
              <w:t>1.97</w:t>
            </w:r>
          </w:p>
        </w:tc>
        <w:tc>
          <w:tcPr>
            <w:tcW w:w="3073"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eastAsia="zh-CN"/>
              </w:rPr>
              <w:t>公用经费合计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val="en-US" w:eastAsia="zh-CN" w:bidi="ar-SA"/>
              </w:rPr>
              <w:t>33.2</w:t>
            </w:r>
            <w:r>
              <w:rPr>
                <w:rFonts w:hint="eastAsia" w:cs="Times New Roman"/>
                <w:color w:val="000000"/>
                <w:kern w:val="0"/>
                <w:sz w:val="22"/>
                <w:szCs w:val="22"/>
                <w:lang w:val="en-US" w:eastAsia="zh-CN" w:bidi="ar-SA"/>
              </w:rPr>
              <w:t>2</w:t>
            </w:r>
          </w:p>
        </w:tc>
      </w:tr>
    </w:tbl>
    <w:p>
      <w:pPr>
        <w:rPr>
          <w:rFonts w:hint="default" w:ascii="Times New Roman" w:hAnsi="Times New Roman" w:cs="Times New Roman"/>
        </w:rPr>
      </w:pPr>
    </w:p>
    <w:p>
      <w:pPr>
        <w:rPr>
          <w:rFonts w:hint="default" w:ascii="Times New Roman" w:hAnsi="Times New Roman" w:cs="Times New Roman"/>
        </w:rPr>
        <w:sectPr>
          <w:pgSz w:w="11906" w:h="16838"/>
          <w:pgMar w:top="1440" w:right="1797" w:bottom="1440" w:left="1797" w:header="851" w:footer="992" w:gutter="0"/>
          <w:pgNumType w:fmt="decimal"/>
          <w:cols w:space="720" w:num="1"/>
          <w:docGrid w:type="lines" w:linePitch="312" w:charSpace="0"/>
        </w:sectPr>
      </w:pPr>
      <w:r>
        <w:rPr>
          <w:rFonts w:hint="default" w:ascii="Times New Roman" w:hAnsi="Times New Roman" w:cs="Times New Roman"/>
        </w:rPr>
        <w:t>注：本表反映部门本年度一般公共预算财政拨款基本支出明细情况。</w:t>
      </w:r>
    </w:p>
    <w:p>
      <w:pPr>
        <w:jc w:val="center"/>
        <w:rPr>
          <w:rFonts w:hint="default" w:ascii="Times New Roman" w:hAnsi="Times New Roman" w:eastAsia="方正小标宋简体" w:cs="Times New Roman"/>
          <w:kern w:val="0"/>
          <w:sz w:val="36"/>
          <w:szCs w:val="36"/>
        </w:rPr>
      </w:pP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表七：</w:t>
      </w:r>
      <w:r>
        <w:rPr>
          <w:rFonts w:hint="default" w:ascii="Times New Roman" w:hAnsi="Times New Roman" w:eastAsia="方正小标宋简体" w:cs="Times New Roman"/>
          <w:sz w:val="36"/>
          <w:szCs w:val="36"/>
        </w:rPr>
        <w:t>一般</w:t>
      </w:r>
      <w:r>
        <w:rPr>
          <w:rFonts w:hint="default" w:ascii="Times New Roman" w:hAnsi="Times New Roman" w:eastAsia="方正小标宋简体" w:cs="Times New Roman"/>
          <w:kern w:val="0"/>
          <w:sz w:val="36"/>
          <w:szCs w:val="36"/>
        </w:rPr>
        <w:t>公共预算财政拨款安排的“三公”经费支出决算表</w:t>
      </w: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1.93</w:t>
            </w:r>
            <w:r>
              <w:rPr>
                <w:rFonts w:hint="default" w:ascii="Times New Roman" w:hAnsi="Times New Roman" w:cs="Times New Roman"/>
                <w:color w:val="000000"/>
                <w:kern w:val="0"/>
                <w:sz w:val="20"/>
                <w:szCs w:val="20"/>
              </w:rPr>
              <w:t>　</w:t>
            </w:r>
          </w:p>
        </w:tc>
        <w:tc>
          <w:tcPr>
            <w:tcW w:w="1603" w:type="dxa"/>
            <w:tcBorders>
              <w:top w:val="nil"/>
              <w:left w:val="nil"/>
              <w:bottom w:val="single" w:color="auto" w:sz="4" w:space="0"/>
              <w:right w:val="single" w:color="auto" w:sz="4" w:space="0"/>
            </w:tcBorders>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216" w:type="dxa"/>
            <w:tcBorders>
              <w:top w:val="nil"/>
              <w:left w:val="nil"/>
              <w:bottom w:val="single" w:color="auto" w:sz="4" w:space="0"/>
              <w:right w:val="single" w:color="auto" w:sz="4" w:space="0"/>
            </w:tcBorders>
          </w:tcPr>
          <w:p>
            <w:pPr>
              <w:widowControl/>
              <w:ind w:firstLine="200" w:firstLineChars="100"/>
              <w:jc w:val="both"/>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1.93</w:t>
            </w:r>
          </w:p>
        </w:tc>
        <w:tc>
          <w:tcPr>
            <w:tcW w:w="806" w:type="dxa"/>
            <w:tcBorders>
              <w:top w:val="nil"/>
              <w:left w:val="nil"/>
              <w:bottom w:val="single" w:color="auto" w:sz="4" w:space="0"/>
              <w:right w:val="single" w:color="auto" w:sz="4" w:space="0"/>
            </w:tcBorders>
          </w:tcPr>
          <w:p>
            <w:pPr>
              <w:widowControl/>
              <w:ind w:firstLine="200" w:firstLineChars="100"/>
              <w:jc w:val="both"/>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val="en-US" w:eastAsia="zh-CN"/>
              </w:rPr>
              <w:t>0.71</w:t>
            </w:r>
          </w:p>
        </w:tc>
        <w:tc>
          <w:tcPr>
            <w:tcW w:w="1560" w:type="dxa"/>
            <w:tcBorders>
              <w:top w:val="nil"/>
              <w:left w:val="nil"/>
              <w:bottom w:val="single" w:color="auto" w:sz="4" w:space="0"/>
              <w:right w:val="single" w:color="auto" w:sz="4" w:space="0"/>
            </w:tcBorders>
          </w:tcPr>
          <w:p>
            <w:pPr>
              <w:widowControl/>
              <w:ind w:firstLine="200" w:firstLineChars="100"/>
              <w:jc w:val="both"/>
              <w:rPr>
                <w:rFonts w:hint="default" w:ascii="Times New Roman" w:hAnsi="Times New Roman" w:cs="Times New Roman"/>
                <w:color w:val="000000"/>
                <w:kern w:val="0"/>
                <w:sz w:val="20"/>
                <w:szCs w:val="20"/>
              </w:rPr>
            </w:pPr>
          </w:p>
        </w:tc>
        <w:tc>
          <w:tcPr>
            <w:tcW w:w="806" w:type="dxa"/>
            <w:tcBorders>
              <w:top w:val="nil"/>
              <w:left w:val="nil"/>
              <w:bottom w:val="single" w:color="auto" w:sz="4" w:space="0"/>
              <w:right w:val="single" w:color="auto" w:sz="4" w:space="0"/>
            </w:tcBorders>
          </w:tcPr>
          <w:p>
            <w:pPr>
              <w:widowControl/>
              <w:ind w:firstLine="200" w:firstLineChars="100"/>
              <w:jc w:val="both"/>
              <w:rPr>
                <w:rFonts w:hint="default" w:ascii="Times New Roman" w:hAnsi="Times New Roman" w:cs="Times New Roman"/>
                <w:color w:val="000000"/>
                <w:kern w:val="0"/>
                <w:sz w:val="20"/>
                <w:szCs w:val="20"/>
              </w:rPr>
            </w:pPr>
          </w:p>
        </w:tc>
        <w:tc>
          <w:tcPr>
            <w:tcW w:w="1398" w:type="dxa"/>
            <w:tcBorders>
              <w:top w:val="nil"/>
              <w:left w:val="nil"/>
              <w:bottom w:val="single" w:color="auto" w:sz="4" w:space="0"/>
              <w:right w:val="single" w:color="auto" w:sz="4" w:space="0"/>
            </w:tcBorders>
          </w:tcPr>
          <w:p>
            <w:pPr>
              <w:widowControl/>
              <w:ind w:firstLine="400" w:firstLineChars="200"/>
              <w:jc w:val="both"/>
              <w:rPr>
                <w:rFonts w:hint="default" w:ascii="Times New Roman" w:hAnsi="Times New Roman" w:cs="Times New Roman"/>
                <w:color w:val="000000"/>
                <w:kern w:val="0"/>
                <w:sz w:val="20"/>
                <w:szCs w:val="20"/>
              </w:rPr>
            </w:pPr>
          </w:p>
        </w:tc>
        <w:tc>
          <w:tcPr>
            <w:tcW w:w="1208" w:type="dxa"/>
            <w:tcBorders>
              <w:top w:val="nil"/>
              <w:left w:val="nil"/>
              <w:bottom w:val="single" w:color="auto" w:sz="4" w:space="0"/>
              <w:right w:val="single" w:color="auto" w:sz="4" w:space="0"/>
            </w:tcBorders>
          </w:tcPr>
          <w:p>
            <w:pPr>
              <w:widowControl/>
              <w:jc w:val="both"/>
              <w:rPr>
                <w:rFonts w:hint="default" w:ascii="Times New Roman" w:hAnsi="Times New Roman" w:cs="Times New Roman"/>
                <w:color w:val="000000"/>
                <w:kern w:val="0"/>
                <w:sz w:val="20"/>
                <w:szCs w:val="20"/>
              </w:rPr>
            </w:pPr>
          </w:p>
        </w:tc>
        <w:tc>
          <w:tcPr>
            <w:tcW w:w="1183" w:type="dxa"/>
            <w:tcBorders>
              <w:top w:val="nil"/>
              <w:left w:val="nil"/>
              <w:bottom w:val="single" w:color="auto" w:sz="4" w:space="0"/>
              <w:right w:val="single" w:color="auto" w:sz="4" w:space="0"/>
            </w:tcBorders>
          </w:tcPr>
          <w:p>
            <w:pPr>
              <w:widowControl/>
              <w:ind w:firstLine="200" w:firstLineChars="100"/>
              <w:jc w:val="both"/>
              <w:rPr>
                <w:rFonts w:hint="default" w:ascii="Times New Roman" w:hAnsi="Times New Roman" w:eastAsia="宋体" w:cs="Times New Roman"/>
                <w:color w:val="000000"/>
                <w:kern w:val="0"/>
                <w:sz w:val="20"/>
                <w:szCs w:val="20"/>
                <w:lang w:val="en-US" w:eastAsia="zh-CN"/>
              </w:rPr>
            </w:pPr>
            <w:r>
              <w:rPr>
                <w:rFonts w:hint="default" w:ascii="Times New Roman" w:hAnsi="Times New Roman" w:cs="Times New Roman"/>
                <w:color w:val="000000"/>
                <w:kern w:val="0"/>
                <w:sz w:val="20"/>
                <w:szCs w:val="20"/>
                <w:lang w:val="en-US" w:eastAsia="zh-CN"/>
              </w:rPr>
              <w:t>0.71</w:t>
            </w:r>
          </w:p>
        </w:tc>
      </w:tr>
    </w:tbl>
    <w:p>
      <w:pPr>
        <w:rPr>
          <w:rFonts w:hint="default" w:ascii="Times New Roman" w:hAnsi="Times New Roman" w:cs="Times New Roman"/>
        </w:rPr>
        <w:sectPr>
          <w:pgSz w:w="16838" w:h="11906" w:orient="landscape"/>
          <w:pgMar w:top="1797" w:right="1440" w:bottom="1797" w:left="1440" w:header="851" w:footer="992" w:gutter="0"/>
          <w:pgNumType w:fmt="decimal"/>
          <w:cols w:space="720" w:num="1"/>
          <w:docGrid w:type="lines" w:linePitch="312" w:charSpace="0"/>
        </w:sectPr>
      </w:pPr>
      <w:r>
        <w:rPr>
          <w:rFonts w:hint="default" w:ascii="Times New Roman" w:hAnsi="Times New Roman" w:cs="Times New Roman"/>
        </w:rPr>
        <w:t>注：本表反映部门本年度“三公”经费支出预决算情况。其中，2020年度预算数为“三公”经费年初预算数，决算数是包括当年一般公共预算财政拨款和以前年度结转资金安排的实际支出。</w:t>
      </w:r>
    </w:p>
    <w:p>
      <w:pPr>
        <w:rPr>
          <w:rFonts w:hint="default" w:ascii="Times New Roman" w:hAnsi="Times New Roman" w:cs="Times New Roman"/>
        </w:rPr>
      </w:pPr>
    </w:p>
    <w:p>
      <w:pPr>
        <w:rPr>
          <w:rFonts w:hint="default" w:ascii="Times New Roman" w:hAnsi="Times New Roman" w:cs="Times New Roman"/>
        </w:rPr>
      </w:pPr>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385"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765"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2010" w:type="dxa"/>
            <w:gridSpan w:val="2"/>
            <w:tcBorders>
              <w:top w:val="nil"/>
              <w:left w:val="nil"/>
              <w:bottom w:val="nil"/>
              <w:right w:val="nil"/>
            </w:tcBorders>
            <w:vAlign w:val="bottom"/>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hint="default" w:ascii="Times New Roman" w:hAnsi="Times New Roman" w:cs="Times New Roman"/>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hint="default" w:ascii="Times New Roman" w:hAnsi="Times New Roman" w:cs="Times New Roman"/>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bl>
    <w:p>
      <w:pPr>
        <w:spacing w:line="560" w:lineRule="exact"/>
        <w:ind w:firstLine="420"/>
        <w:rPr>
          <w:rFonts w:hint="default" w:ascii="Times New Roman" w:hAnsi="Times New Roman" w:cs="Times New Roman"/>
        </w:rPr>
      </w:pPr>
      <w:r>
        <w:rPr>
          <w:rFonts w:hint="default" w:ascii="Times New Roman" w:hAnsi="Times New Roman" w:cs="Times New Roman"/>
        </w:rPr>
        <w:t>注：本表反映部门本年度政府性基金预算财政拨款收入支出及结转和结余情况。</w:t>
      </w:r>
    </w:p>
    <w:p>
      <w:pPr>
        <w:spacing w:line="560" w:lineRule="exact"/>
        <w:ind w:firstLine="840" w:firstLineChars="400"/>
        <w:rPr>
          <w:rFonts w:hint="default" w:ascii="Times New Roman" w:hAnsi="Times New Roman" w:eastAsia="宋体" w:cs="Times New Roman"/>
          <w:lang w:eastAsia="zh-CN"/>
        </w:rPr>
      </w:pPr>
      <w:r>
        <w:rPr>
          <w:rFonts w:hint="default" w:ascii="Times New Roman" w:hAnsi="Times New Roman" w:cs="Times New Roman"/>
          <w:lang w:eastAsia="zh-CN"/>
        </w:rPr>
        <w:t>柳州市信访局</w:t>
      </w:r>
      <w:r>
        <w:rPr>
          <w:rFonts w:hint="default" w:ascii="Times New Roman" w:hAnsi="Times New Roman" w:cs="Times New Roman"/>
        </w:rPr>
        <w:t>没有</w:t>
      </w:r>
      <w:r>
        <w:rPr>
          <w:rFonts w:hint="default" w:ascii="Times New Roman" w:hAnsi="Times New Roman" w:cs="Times New Roman"/>
          <w:lang w:eastAsia="zh-CN"/>
        </w:rPr>
        <w:t>政府性基金</w:t>
      </w:r>
      <w:r>
        <w:rPr>
          <w:rFonts w:hint="default" w:ascii="Times New Roman" w:hAnsi="Times New Roman" w:cs="Times New Roman"/>
        </w:rPr>
        <w:t>收入，也没有政府性基金预算财政拨款安排的支出，故本表无数据</w:t>
      </w:r>
      <w:r>
        <w:rPr>
          <w:rFonts w:hint="default" w:ascii="Times New Roman" w:hAnsi="Times New Roman" w:cs="Times New Roman"/>
          <w:lang w:eastAsia="zh-CN"/>
        </w:rPr>
        <w:t>。</w:t>
      </w:r>
    </w:p>
    <w:p>
      <w:pPr>
        <w:spacing w:line="560" w:lineRule="exact"/>
        <w:ind w:firstLine="420"/>
        <w:rPr>
          <w:rFonts w:hint="default" w:ascii="Times New Roman" w:hAnsi="Times New Roman" w:cs="Times New Roman"/>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0"/>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5"/>
            <w:shd w:val="clear" w:color="auto" w:fill="FFFFFF"/>
            <w:vAlign w:val="center"/>
          </w:tcPr>
          <w:p>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highlight w:val="none"/>
                <w:u w:val="none"/>
              </w:rPr>
            </w:pPr>
            <w:r>
              <w:rPr>
                <w:rFonts w:hint="default" w:ascii="Times New Roman" w:hAnsi="Times New Roman" w:eastAsia="华文中宋" w:cs="Times New Roman"/>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8101" w:type="dxa"/>
            <w:gridSpan w:val="3"/>
            <w:shd w:val="clear" w:color="auto" w:fill="FFFFFF"/>
            <w:vAlign w:val="center"/>
          </w:tcPr>
          <w:p>
            <w:pP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部门：</w:t>
            </w:r>
            <w:r>
              <w:rPr>
                <w:rFonts w:hint="default" w:ascii="Times New Roman" w:hAnsi="Times New Roman" w:cs="Times New Roman"/>
                <w:i w:val="0"/>
                <w:color w:val="000000"/>
                <w:kern w:val="0"/>
                <w:sz w:val="20"/>
                <w:szCs w:val="20"/>
                <w:highlight w:val="none"/>
                <w:u w:val="none"/>
                <w:lang w:val="en-US" w:eastAsia="zh-CN" w:bidi="ar"/>
              </w:rPr>
              <w:t>中共柳州市委员会柳州市人民政府信访局</w:t>
            </w:r>
          </w:p>
        </w:tc>
        <w:tc>
          <w:tcPr>
            <w:tcW w:w="1344" w:type="dxa"/>
            <w:tcBorders>
              <w:bottom w:val="single" w:color="000000" w:sz="12" w:space="0"/>
            </w:tcBorders>
            <w:shd w:val="clear" w:color="auto" w:fill="FFFFFF"/>
            <w:vAlign w:val="center"/>
          </w:tcPr>
          <w:p>
            <w:pPr>
              <w:rPr>
                <w:rFonts w:hint="default" w:ascii="Times New Roman" w:hAnsi="Times New Roman" w:eastAsia="宋体" w:cs="Times New Roman"/>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 xml:space="preserve">项 </w:t>
            </w:r>
            <w:r>
              <w:rPr>
                <w:rStyle w:val="9"/>
                <w:rFonts w:hint="default" w:ascii="Times New Roman" w:hAnsi="Times New Roman" w:cs="Times New Roman"/>
                <w:highlight w:val="none"/>
                <w:lang w:val="en-US" w:eastAsia="zh-CN" w:bidi="ar"/>
              </w:rPr>
              <w:t xml:space="preserve">   </w:t>
            </w:r>
            <w:r>
              <w:rPr>
                <w:rStyle w:val="10"/>
                <w:rFonts w:hint="default" w:ascii="Times New Roman" w:hAnsi="Times New Roman" w:cs="Times New Roman"/>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2"/>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5"/>
            <w:tcBorders>
              <w:top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注：本表反映部门本年度国有资本经营预算财政拨款支出情况。</w:t>
            </w:r>
          </w:p>
        </w:tc>
      </w:tr>
    </w:tbl>
    <w:p>
      <w:pPr>
        <w:spacing w:line="56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lang w:eastAsia="zh-CN"/>
        </w:rPr>
        <w:t>柳州市信访局</w:t>
      </w:r>
      <w:r>
        <w:rPr>
          <w:rFonts w:hint="default" w:ascii="Times New Roman" w:hAnsi="Times New Roman" w:cs="Times New Roman"/>
        </w:rPr>
        <w:t>没有国有资本经营收入，也没有国有资本经营安排的支出，故本表无数据</w:t>
      </w:r>
      <w:r>
        <w:rPr>
          <w:rFonts w:hint="default" w:ascii="Times New Roman" w:hAnsi="Times New Roman" w:cs="Times New Roman"/>
          <w:lang w:eastAsia="zh-CN"/>
        </w:rPr>
        <w:t>。</w:t>
      </w:r>
    </w:p>
    <w:p>
      <w:pPr>
        <w:spacing w:line="560" w:lineRule="exact"/>
        <w:ind w:firstLine="420"/>
        <w:rPr>
          <w:rFonts w:hint="default" w:ascii="Times New Roman" w:hAnsi="Times New Roman" w:cs="Times New Roman"/>
          <w:highlight w:val="none"/>
        </w:rPr>
        <w:sectPr>
          <w:pgSz w:w="16838" w:h="11906" w:orient="landscape"/>
          <w:pgMar w:top="1797" w:right="1440" w:bottom="1797" w:left="1440" w:header="851" w:footer="992" w:gutter="0"/>
          <w:pgNumType w:fmt="decimal"/>
          <w:cols w:space="720" w:num="1"/>
          <w:docGrid w:type="lines" w:linePitch="312" w:charSpace="0"/>
        </w:sectPr>
      </w:pPr>
    </w:p>
    <w:p>
      <w:pPr>
        <w:spacing w:line="720" w:lineRule="auto"/>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w:t>
      </w:r>
      <w:r>
        <w:rPr>
          <w:rFonts w:hint="default" w:ascii="Times New Roman" w:hAnsi="Times New Roman" w:eastAsia="仿宋_GB2312" w:cs="Times New Roman"/>
          <w:b/>
          <w:sz w:val="32"/>
          <w:szCs w:val="32"/>
          <w:u w:val="none"/>
          <w:lang w:eastAsia="zh-CN"/>
        </w:rPr>
        <w:t>柳州市信访局</w:t>
      </w:r>
      <w:r>
        <w:rPr>
          <w:rFonts w:hint="default" w:ascii="Times New Roman" w:hAnsi="Times New Roman" w:eastAsia="仿宋_GB2312" w:cs="Times New Roman"/>
          <w:b/>
          <w:sz w:val="32"/>
          <w:szCs w:val="32"/>
          <w:u w:val="none"/>
        </w:rPr>
        <w:t>2020年度部门决算情况</w:t>
      </w:r>
      <w:r>
        <w:rPr>
          <w:rFonts w:hint="default" w:ascii="Times New Roman" w:hAnsi="Times New Roman" w:eastAsia="仿宋_GB2312" w:cs="Times New Roman"/>
          <w:b/>
          <w:sz w:val="32"/>
          <w:szCs w:val="32"/>
        </w:rPr>
        <w:t>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一、2020年度收入支出决算总体情况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2020年度收入总计</w:t>
      </w:r>
      <w:r>
        <w:rPr>
          <w:rFonts w:hint="default" w:ascii="Times New Roman" w:hAnsi="Times New Roman" w:eastAsia="仿宋_GB2312" w:cs="Times New Roman"/>
          <w:bCs/>
          <w:kern w:val="0"/>
          <w:sz w:val="32"/>
          <w:szCs w:val="32"/>
          <w:lang w:val="en-US" w:eastAsia="zh-CN"/>
        </w:rPr>
        <w:t>602.85</w:t>
      </w:r>
      <w:r>
        <w:rPr>
          <w:rFonts w:hint="default" w:ascii="Times New Roman" w:hAnsi="Times New Roman" w:eastAsia="仿宋_GB2312" w:cs="Times New Roman"/>
          <w:bCs/>
          <w:kern w:val="0"/>
          <w:sz w:val="32"/>
          <w:szCs w:val="32"/>
        </w:rPr>
        <w:t>万元，支出总计</w:t>
      </w:r>
      <w:r>
        <w:rPr>
          <w:rFonts w:hint="default" w:ascii="Times New Roman" w:hAnsi="Times New Roman" w:eastAsia="仿宋_GB2312" w:cs="Times New Roman"/>
          <w:bCs/>
          <w:kern w:val="0"/>
          <w:sz w:val="32"/>
          <w:szCs w:val="32"/>
          <w:lang w:val="en-US" w:eastAsia="zh-CN"/>
        </w:rPr>
        <w:t>602.85</w:t>
      </w:r>
      <w:r>
        <w:rPr>
          <w:rFonts w:hint="default" w:ascii="Times New Roman" w:hAnsi="Times New Roman" w:eastAsia="仿宋_GB2312" w:cs="Times New Roman"/>
          <w:bCs/>
          <w:kern w:val="0"/>
          <w:sz w:val="32"/>
          <w:szCs w:val="32"/>
        </w:rPr>
        <w:t>万元，与2019年相比，收、支分别增加</w:t>
      </w:r>
      <w:r>
        <w:rPr>
          <w:rFonts w:hint="default" w:ascii="Times New Roman" w:hAnsi="Times New Roman" w:eastAsia="仿宋_GB2312" w:cs="Times New Roman"/>
          <w:bCs/>
          <w:kern w:val="0"/>
          <w:sz w:val="32"/>
          <w:szCs w:val="32"/>
          <w:lang w:val="en-US" w:eastAsia="zh-CN"/>
        </w:rPr>
        <w:t>413.62万元</w:t>
      </w:r>
      <w:r>
        <w:rPr>
          <w:rFonts w:hint="eastAsia"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413.62万元</w:t>
      </w:r>
      <w:r>
        <w:rPr>
          <w:rFonts w:hint="default" w:ascii="Times New Roman" w:hAnsi="Times New Roman" w:eastAsia="仿宋_GB2312" w:cs="Times New Roman"/>
          <w:bCs/>
          <w:kern w:val="0"/>
          <w:sz w:val="32"/>
          <w:szCs w:val="32"/>
        </w:rPr>
        <w:t>；分别增长</w:t>
      </w:r>
      <w:r>
        <w:rPr>
          <w:rFonts w:hint="default" w:ascii="Times New Roman" w:hAnsi="Times New Roman" w:eastAsia="仿宋_GB2312" w:cs="Times New Roman"/>
          <w:bCs/>
          <w:kern w:val="0"/>
          <w:sz w:val="32"/>
          <w:szCs w:val="32"/>
          <w:lang w:val="en-US" w:eastAsia="zh-CN"/>
        </w:rPr>
        <w:t>218.58</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lang w:val="en-US" w:eastAsia="zh-CN"/>
        </w:rPr>
        <w:t>218.58</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二、2020年度收入决算情况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本年收入总计</w:t>
      </w:r>
      <w:r>
        <w:rPr>
          <w:rFonts w:hint="default" w:ascii="Times New Roman" w:hAnsi="Times New Roman" w:eastAsia="仿宋_GB2312" w:cs="Times New Roman"/>
          <w:bCs/>
          <w:kern w:val="0"/>
          <w:sz w:val="32"/>
          <w:szCs w:val="32"/>
          <w:lang w:val="en-US" w:eastAsia="zh-CN"/>
        </w:rPr>
        <w:t>594.3</w:t>
      </w:r>
      <w:r>
        <w:rPr>
          <w:rFonts w:hint="default" w:ascii="Times New Roman" w:hAnsi="Times New Roman" w:eastAsia="仿宋_GB2312" w:cs="Times New Roman"/>
          <w:bCs/>
          <w:kern w:val="0"/>
          <w:sz w:val="32"/>
          <w:szCs w:val="32"/>
        </w:rPr>
        <w:t>万元，其中：一般公共预算财政拨款收入</w:t>
      </w:r>
      <w:r>
        <w:rPr>
          <w:rFonts w:hint="default" w:ascii="Times New Roman" w:hAnsi="Times New Roman" w:eastAsia="仿宋_GB2312" w:cs="Times New Roman"/>
          <w:bCs/>
          <w:kern w:val="0"/>
          <w:sz w:val="32"/>
          <w:szCs w:val="32"/>
          <w:lang w:val="en-US" w:eastAsia="zh-CN"/>
        </w:rPr>
        <w:t>594.3</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；政府基金预算财政拨款收入</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；上级补助收入</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 xml:space="preserve"> ；</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 xml:space="preserve"> ；事业单位经营收入</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；其他收入</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三、2020年度支出决算情况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本年支出合计</w:t>
      </w:r>
      <w:r>
        <w:rPr>
          <w:rFonts w:hint="eastAsia" w:eastAsia="仿宋_GB2312" w:cs="Times New Roman"/>
          <w:bCs/>
          <w:kern w:val="0"/>
          <w:sz w:val="32"/>
          <w:szCs w:val="32"/>
          <w:lang w:val="en-US" w:eastAsia="zh-CN"/>
        </w:rPr>
        <w:t>552.71</w:t>
      </w:r>
      <w:r>
        <w:rPr>
          <w:rFonts w:hint="default" w:ascii="Times New Roman" w:hAnsi="Times New Roman" w:eastAsia="仿宋_GB2312" w:cs="Times New Roman"/>
          <w:bCs/>
          <w:kern w:val="0"/>
          <w:sz w:val="32"/>
          <w:szCs w:val="32"/>
        </w:rPr>
        <w:t>万元（逐项说明），其中：基本支出</w:t>
      </w:r>
      <w:r>
        <w:rPr>
          <w:rFonts w:hint="eastAsia" w:eastAsia="仿宋_GB2312" w:cs="Times New Roman"/>
          <w:bCs/>
          <w:kern w:val="0"/>
          <w:sz w:val="32"/>
          <w:szCs w:val="32"/>
          <w:lang w:val="en-US" w:eastAsia="zh-CN"/>
        </w:rPr>
        <w:t>355.19</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64.26</w:t>
      </w:r>
      <w:r>
        <w:rPr>
          <w:rFonts w:hint="default" w:ascii="Times New Roman" w:hAnsi="Times New Roman" w:eastAsia="仿宋_GB2312" w:cs="Times New Roman"/>
          <w:bCs/>
          <w:kern w:val="0"/>
          <w:sz w:val="32"/>
          <w:szCs w:val="32"/>
        </w:rPr>
        <w:t>%；项目支出</w:t>
      </w:r>
      <w:r>
        <w:rPr>
          <w:rFonts w:hint="eastAsia" w:eastAsia="仿宋_GB2312" w:cs="Times New Roman"/>
          <w:bCs/>
          <w:kern w:val="0"/>
          <w:sz w:val="32"/>
          <w:szCs w:val="32"/>
          <w:lang w:val="en-US" w:eastAsia="zh-CN"/>
        </w:rPr>
        <w:t>197.52</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35.74</w:t>
      </w:r>
      <w:r>
        <w:rPr>
          <w:rFonts w:hint="default" w:ascii="Times New Roman" w:hAnsi="Times New Roman" w:eastAsia="仿宋_GB2312" w:cs="Times New Roman"/>
          <w:bCs/>
          <w:kern w:val="0"/>
          <w:sz w:val="32"/>
          <w:szCs w:val="32"/>
        </w:rPr>
        <w:t>%；经营支出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%；上缴上级支出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；对附属单位补助支出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四、2020年度财政拨款收入支出决算情况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本部门 2020年度财政拨款收、支总决算</w:t>
      </w:r>
      <w:r>
        <w:rPr>
          <w:rFonts w:hint="eastAsia" w:eastAsia="仿宋_GB2312" w:cs="Times New Roman"/>
          <w:bCs/>
          <w:kern w:val="0"/>
          <w:sz w:val="32"/>
          <w:szCs w:val="32"/>
          <w:lang w:val="en-US" w:eastAsia="zh-CN"/>
        </w:rPr>
        <w:t>602.85</w:t>
      </w:r>
      <w:r>
        <w:rPr>
          <w:rFonts w:hint="default" w:ascii="Times New Roman" w:hAnsi="Times New Roman" w:eastAsia="仿宋_GB2312" w:cs="Times New Roman"/>
          <w:bCs/>
          <w:kern w:val="0"/>
          <w:sz w:val="32"/>
          <w:szCs w:val="32"/>
        </w:rPr>
        <w:t>万元、</w:t>
      </w:r>
      <w:r>
        <w:rPr>
          <w:rFonts w:hint="eastAsia" w:eastAsia="仿宋_GB2312" w:cs="Times New Roman"/>
          <w:bCs/>
          <w:kern w:val="0"/>
          <w:sz w:val="32"/>
          <w:szCs w:val="32"/>
          <w:lang w:val="en-US" w:eastAsia="zh-CN"/>
        </w:rPr>
        <w:t>602.85</w:t>
      </w:r>
      <w:r>
        <w:rPr>
          <w:rFonts w:hint="default" w:ascii="Times New Roman" w:hAnsi="Times New Roman" w:eastAsia="仿宋_GB2312" w:cs="Times New Roman"/>
          <w:bCs/>
          <w:kern w:val="0"/>
          <w:sz w:val="32"/>
          <w:szCs w:val="32"/>
        </w:rPr>
        <w:t>万元。与2019年相比，财政拨款收、支总计各增加</w:t>
      </w:r>
      <w:r>
        <w:rPr>
          <w:rFonts w:hint="eastAsia" w:eastAsia="仿宋_GB2312" w:cs="Times New Roman"/>
          <w:bCs/>
          <w:kern w:val="0"/>
          <w:sz w:val="32"/>
          <w:szCs w:val="32"/>
          <w:lang w:val="en-US" w:eastAsia="zh-CN"/>
        </w:rPr>
        <w:t>413.62</w:t>
      </w:r>
      <w:r>
        <w:rPr>
          <w:rFonts w:hint="default" w:ascii="Times New Roman" w:hAnsi="Times New Roman" w:eastAsia="仿宋_GB2312" w:cs="Times New Roman"/>
          <w:bCs/>
          <w:kern w:val="0"/>
          <w:sz w:val="32"/>
          <w:szCs w:val="32"/>
        </w:rPr>
        <w:t>万元</w:t>
      </w:r>
      <w:r>
        <w:rPr>
          <w:rFonts w:hint="eastAsia" w:eastAsia="仿宋_GB2312" w:cs="Times New Roman"/>
          <w:bCs/>
          <w:kern w:val="0"/>
          <w:sz w:val="32"/>
          <w:szCs w:val="32"/>
          <w:lang w:eastAsia="zh-CN"/>
        </w:rPr>
        <w:t>、</w:t>
      </w:r>
      <w:r>
        <w:rPr>
          <w:rFonts w:hint="eastAsia" w:eastAsia="仿宋_GB2312" w:cs="Times New Roman"/>
          <w:bCs/>
          <w:kern w:val="0"/>
          <w:sz w:val="32"/>
          <w:szCs w:val="32"/>
          <w:lang w:val="en-US" w:eastAsia="zh-CN"/>
        </w:rPr>
        <w:t>413.62</w:t>
      </w:r>
      <w:r>
        <w:rPr>
          <w:rFonts w:hint="default" w:ascii="Times New Roman" w:hAnsi="Times New Roman" w:eastAsia="仿宋_GB2312" w:cs="Times New Roman"/>
          <w:bCs/>
          <w:kern w:val="0"/>
          <w:sz w:val="32"/>
          <w:szCs w:val="32"/>
        </w:rPr>
        <w:t>万元，增长</w:t>
      </w:r>
      <w:r>
        <w:rPr>
          <w:rFonts w:hint="eastAsia" w:eastAsia="仿宋_GB2312" w:cs="Times New Roman"/>
          <w:bCs/>
          <w:kern w:val="0"/>
          <w:sz w:val="32"/>
          <w:szCs w:val="32"/>
          <w:lang w:val="en-US" w:eastAsia="zh-CN"/>
        </w:rPr>
        <w:t>218.58</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w:t>
      </w:r>
      <w:r>
        <w:rPr>
          <w:rFonts w:hint="eastAsia" w:eastAsia="仿宋_GB2312" w:cs="Times New Roman"/>
          <w:bCs/>
          <w:kern w:val="0"/>
          <w:sz w:val="32"/>
          <w:szCs w:val="32"/>
          <w:lang w:val="en-US" w:eastAsia="zh-CN"/>
        </w:rPr>
        <w:t>218.58</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五、2020年度一般公共预算财政拨款支出决算情况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（一）财政拨款支出决算情况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部门 2020年度财政拨款支出</w:t>
      </w:r>
      <w:r>
        <w:rPr>
          <w:rFonts w:hint="eastAsia" w:eastAsia="仿宋_GB2312" w:cs="Times New Roman"/>
          <w:bCs/>
          <w:kern w:val="0"/>
          <w:sz w:val="32"/>
          <w:szCs w:val="32"/>
          <w:lang w:val="en-US" w:eastAsia="zh-CN"/>
        </w:rPr>
        <w:t>552.71</w:t>
      </w:r>
      <w:r>
        <w:rPr>
          <w:rFonts w:hint="default" w:ascii="Times New Roman" w:hAnsi="Times New Roman" w:eastAsia="仿宋_GB2312" w:cs="Times New Roman"/>
          <w:bCs/>
          <w:kern w:val="0"/>
          <w:sz w:val="32"/>
          <w:szCs w:val="32"/>
        </w:rPr>
        <w:t>万元，占本年支出合计的</w:t>
      </w:r>
      <w:r>
        <w:rPr>
          <w:rFonts w:hint="eastAsia" w:eastAsia="仿宋_GB2312" w:cs="Times New Roman"/>
          <w:bCs/>
          <w:kern w:val="0"/>
          <w:sz w:val="32"/>
          <w:szCs w:val="32"/>
          <w:lang w:val="en-US" w:eastAsia="zh-CN"/>
        </w:rPr>
        <w:t>91.68</w:t>
      </w:r>
      <w:r>
        <w:rPr>
          <w:rFonts w:hint="default" w:ascii="Times New Roman" w:hAnsi="Times New Roman" w:eastAsia="仿宋_GB2312" w:cs="Times New Roman"/>
          <w:bCs/>
          <w:kern w:val="0"/>
          <w:sz w:val="32"/>
          <w:szCs w:val="32"/>
        </w:rPr>
        <w:t>%。与 2019 年相比，财政拨款支出增</w:t>
      </w:r>
      <w:r>
        <w:rPr>
          <w:rFonts w:hint="eastAsia" w:eastAsia="仿宋_GB2312" w:cs="Times New Roman"/>
          <w:bCs/>
          <w:kern w:val="0"/>
          <w:sz w:val="32"/>
          <w:szCs w:val="32"/>
          <w:lang w:val="en-US" w:eastAsia="zh-CN"/>
        </w:rPr>
        <w:t>372.65</w:t>
      </w:r>
      <w:r>
        <w:rPr>
          <w:rFonts w:hint="default" w:ascii="Times New Roman" w:hAnsi="Times New Roman" w:eastAsia="仿宋_GB2312" w:cs="Times New Roman"/>
          <w:bCs/>
          <w:kern w:val="0"/>
          <w:sz w:val="32"/>
          <w:szCs w:val="32"/>
        </w:rPr>
        <w:t>万元，增加</w:t>
      </w:r>
      <w:r>
        <w:rPr>
          <w:rFonts w:hint="eastAsia" w:eastAsia="仿宋_GB2312" w:cs="Times New Roman"/>
          <w:bCs/>
          <w:kern w:val="0"/>
          <w:sz w:val="32"/>
          <w:szCs w:val="32"/>
          <w:lang w:val="en-US" w:eastAsia="zh-CN"/>
        </w:rPr>
        <w:t>206.96</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 xml:space="preserve">     2020 年度财政拨款支出</w:t>
      </w:r>
      <w:r>
        <w:rPr>
          <w:rFonts w:hint="eastAsia" w:eastAsia="仿宋_GB2312" w:cs="Times New Roman"/>
          <w:bCs/>
          <w:kern w:val="0"/>
          <w:sz w:val="32"/>
          <w:szCs w:val="32"/>
          <w:lang w:val="en-US" w:eastAsia="zh-CN"/>
        </w:rPr>
        <w:t>552.71</w:t>
      </w:r>
      <w:r>
        <w:rPr>
          <w:rFonts w:hint="default" w:ascii="Times New Roman" w:hAnsi="Times New Roman" w:eastAsia="仿宋_GB2312" w:cs="Times New Roman"/>
          <w:bCs/>
          <w:kern w:val="0"/>
          <w:sz w:val="32"/>
          <w:szCs w:val="32"/>
        </w:rPr>
        <w:t>万元，主要用于以下方面：一般公共服务（类）支出</w:t>
      </w:r>
      <w:r>
        <w:rPr>
          <w:rFonts w:hint="eastAsia" w:eastAsia="仿宋_GB2312" w:cs="Times New Roman"/>
          <w:bCs/>
          <w:kern w:val="0"/>
          <w:sz w:val="32"/>
          <w:szCs w:val="32"/>
          <w:lang w:val="en-US" w:eastAsia="zh-CN"/>
        </w:rPr>
        <w:t>437.63</w:t>
      </w:r>
      <w:r>
        <w:rPr>
          <w:rFonts w:hint="default" w:ascii="Times New Roman" w:hAnsi="Times New Roman" w:eastAsia="仿宋_GB2312" w:cs="Times New Roman"/>
          <w:bCs/>
          <w:kern w:val="0"/>
          <w:sz w:val="32"/>
          <w:szCs w:val="32"/>
        </w:rPr>
        <w:t>万元， 占</w:t>
      </w:r>
      <w:r>
        <w:rPr>
          <w:rFonts w:hint="eastAsia" w:eastAsia="仿宋_GB2312" w:cs="Times New Roman"/>
          <w:bCs/>
          <w:kern w:val="0"/>
          <w:sz w:val="32"/>
          <w:szCs w:val="32"/>
          <w:lang w:val="en-US" w:eastAsia="zh-CN"/>
        </w:rPr>
        <w:t>79.18</w:t>
      </w:r>
      <w:r>
        <w:rPr>
          <w:rFonts w:hint="default" w:ascii="Times New Roman" w:hAnsi="Times New Roman" w:eastAsia="仿宋_GB2312" w:cs="Times New Roman"/>
          <w:bCs/>
          <w:kern w:val="0"/>
          <w:sz w:val="32"/>
          <w:szCs w:val="32"/>
        </w:rPr>
        <w:t>%；社会保障和就业（类）支出</w:t>
      </w:r>
      <w:r>
        <w:rPr>
          <w:rFonts w:hint="eastAsia" w:eastAsia="仿宋_GB2312" w:cs="Times New Roman"/>
          <w:bCs/>
          <w:kern w:val="0"/>
          <w:sz w:val="32"/>
          <w:szCs w:val="32"/>
          <w:lang w:val="en-US" w:eastAsia="zh-CN"/>
        </w:rPr>
        <w:t>53.64</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9.7</w:t>
      </w:r>
      <w:r>
        <w:rPr>
          <w:rFonts w:hint="default" w:ascii="Times New Roman" w:hAnsi="Times New Roman" w:eastAsia="仿宋_GB2312" w:cs="Times New Roman"/>
          <w:bCs/>
          <w:kern w:val="0"/>
          <w:sz w:val="32"/>
          <w:szCs w:val="32"/>
        </w:rPr>
        <w:t>%；卫生健康</w:t>
      </w:r>
      <w:r>
        <w:rPr>
          <w:rFonts w:hint="eastAsia" w:eastAsia="仿宋_GB2312" w:cs="Times New Roman"/>
          <w:bCs/>
          <w:kern w:val="0"/>
          <w:sz w:val="32"/>
          <w:szCs w:val="32"/>
          <w:lang w:eastAsia="zh-CN"/>
        </w:rPr>
        <w:t>（类）</w:t>
      </w:r>
      <w:r>
        <w:rPr>
          <w:rFonts w:hint="default" w:ascii="Times New Roman" w:hAnsi="Times New Roman" w:eastAsia="仿宋_GB2312" w:cs="Times New Roman"/>
          <w:bCs/>
          <w:kern w:val="0"/>
          <w:sz w:val="32"/>
          <w:szCs w:val="32"/>
        </w:rPr>
        <w:t>支出</w:t>
      </w:r>
      <w:r>
        <w:rPr>
          <w:rFonts w:hint="eastAsia" w:eastAsia="仿宋_GB2312" w:cs="Times New Roman"/>
          <w:bCs/>
          <w:kern w:val="0"/>
          <w:sz w:val="32"/>
          <w:szCs w:val="32"/>
          <w:lang w:val="en-US" w:eastAsia="zh-CN"/>
        </w:rPr>
        <w:t>33.42</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6.05</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住房保障（类）支出</w:t>
      </w:r>
      <w:r>
        <w:rPr>
          <w:rFonts w:hint="eastAsia" w:eastAsia="仿宋_GB2312" w:cs="Times New Roman"/>
          <w:bCs/>
          <w:kern w:val="0"/>
          <w:sz w:val="32"/>
          <w:szCs w:val="32"/>
          <w:lang w:val="en-US" w:eastAsia="zh-CN"/>
        </w:rPr>
        <w:t>28.02</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5.07%。</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2020 年度财政拨款支出年初预算为</w:t>
      </w:r>
      <w:r>
        <w:rPr>
          <w:rFonts w:hint="eastAsia" w:eastAsia="仿宋_GB2312" w:cs="Times New Roman"/>
          <w:bCs/>
          <w:kern w:val="0"/>
          <w:sz w:val="32"/>
          <w:szCs w:val="32"/>
          <w:lang w:val="en-US" w:eastAsia="zh-CN"/>
        </w:rPr>
        <w:t>527</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552.71</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104.88</w:t>
      </w:r>
      <w:r>
        <w:rPr>
          <w:rFonts w:hint="default" w:ascii="Times New Roman" w:hAnsi="Times New Roman" w:eastAsia="仿宋_GB2312" w:cs="Times New Roman"/>
          <w:bCs/>
          <w:kern w:val="0"/>
          <w:sz w:val="32"/>
          <w:szCs w:val="32"/>
        </w:rPr>
        <w:t>%。决算数大于预算数的主要原因：一是年中追加安排财政拨款支出预算，涉及项目有</w:t>
      </w:r>
      <w:r>
        <w:rPr>
          <w:rFonts w:hint="eastAsia" w:eastAsia="仿宋_GB2312" w:cs="Times New Roman"/>
          <w:bCs/>
          <w:kern w:val="0"/>
          <w:sz w:val="32"/>
          <w:szCs w:val="32"/>
          <w:lang w:val="en-US" w:eastAsia="zh-CN"/>
        </w:rPr>
        <w:t>2019年度绩效考评奖励、2020年二层机构聘用人员专项经费、2020年度二层机构绩效工资增减量、2020年度增人增资经费、2020年度公务员医疗补助经费</w:t>
      </w:r>
      <w:r>
        <w:rPr>
          <w:rFonts w:hint="default" w:ascii="Times New Roman" w:hAnsi="Times New Roman" w:eastAsia="仿宋_GB2312" w:cs="Times New Roman"/>
          <w:bCs/>
          <w:kern w:val="0"/>
          <w:sz w:val="32"/>
          <w:szCs w:val="32"/>
        </w:rPr>
        <w:t>；二是部分支出按规定，通过使用以前年度财政拨款结转资金解决。其中：</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1.</w:t>
      </w:r>
      <w:r>
        <w:rPr>
          <w:rFonts w:hint="default" w:ascii="Times New Roman" w:hAnsi="Times New Roman" w:eastAsia="仿宋_GB2312" w:cs="Times New Roman"/>
          <w:bCs/>
          <w:kern w:val="0"/>
          <w:sz w:val="32"/>
          <w:szCs w:val="32"/>
        </w:rPr>
        <w:t>一般公共服务（类）党委办公厅（室）及相关机构事务（款）行政运行（项）。年初预算为</w:t>
      </w:r>
      <w:r>
        <w:rPr>
          <w:rFonts w:hint="eastAsia" w:eastAsia="仿宋_GB2312" w:cs="Times New Roman"/>
          <w:bCs/>
          <w:kern w:val="0"/>
          <w:sz w:val="32"/>
          <w:szCs w:val="32"/>
          <w:lang w:val="en-US" w:eastAsia="zh-CN"/>
        </w:rPr>
        <w:t>18.09</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20.09</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111.06</w:t>
      </w:r>
      <w:r>
        <w:rPr>
          <w:rFonts w:hint="default" w:ascii="Times New Roman" w:hAnsi="Times New Roman" w:eastAsia="仿宋_GB2312" w:cs="Times New Roman"/>
          <w:bCs/>
          <w:kern w:val="0"/>
          <w:sz w:val="32"/>
          <w:szCs w:val="32"/>
        </w:rPr>
        <w:t>%。决算数大于预算数的主要原因是</w:t>
      </w:r>
      <w:r>
        <w:rPr>
          <w:rFonts w:hint="eastAsia" w:eastAsia="仿宋_GB2312" w:cs="Times New Roman"/>
          <w:bCs/>
          <w:kern w:val="0"/>
          <w:sz w:val="32"/>
          <w:szCs w:val="32"/>
          <w:lang w:eastAsia="zh-CN"/>
        </w:rPr>
        <w:t>年度追加二层事业单位绩效工资增减量以及增人增资经费。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eastAsia="仿宋_GB2312" w:cs="Times New Roman"/>
          <w:bCs/>
          <w:kern w:val="0"/>
          <w:sz w:val="32"/>
          <w:szCs w:val="32"/>
          <w:lang w:eastAsia="zh-CN"/>
        </w:rPr>
      </w:pPr>
      <w:r>
        <w:rPr>
          <w:rFonts w:hint="eastAsia"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一般公共服务（类）党委办公厅（室）及相关机构事务（款）专项业务（项）。年初预算为</w:t>
      </w:r>
      <w:r>
        <w:rPr>
          <w:rFonts w:hint="eastAsia" w:eastAsia="仿宋_GB2312" w:cs="Times New Roman"/>
          <w:bCs/>
          <w:kern w:val="0"/>
          <w:sz w:val="32"/>
          <w:szCs w:val="32"/>
          <w:lang w:val="en-US" w:eastAsia="zh-CN"/>
        </w:rPr>
        <w:t>185.73</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164.28</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88.45</w:t>
      </w:r>
      <w:r>
        <w:rPr>
          <w:rFonts w:hint="default" w:ascii="Times New Roman" w:hAnsi="Times New Roman" w:eastAsia="仿宋_GB2312" w:cs="Times New Roman"/>
          <w:bCs/>
          <w:kern w:val="0"/>
          <w:sz w:val="32"/>
          <w:szCs w:val="32"/>
        </w:rPr>
        <w:t>%。决算数</w:t>
      </w:r>
      <w:r>
        <w:rPr>
          <w:rFonts w:hint="eastAsia" w:eastAsia="仿宋_GB2312" w:cs="Times New Roman"/>
          <w:bCs/>
          <w:kern w:val="0"/>
          <w:sz w:val="32"/>
          <w:szCs w:val="32"/>
          <w:lang w:eastAsia="zh-CN"/>
        </w:rPr>
        <w:t>小于</w:t>
      </w:r>
      <w:r>
        <w:rPr>
          <w:rFonts w:hint="default" w:ascii="Times New Roman" w:hAnsi="Times New Roman" w:eastAsia="仿宋_GB2312" w:cs="Times New Roman"/>
          <w:bCs/>
          <w:kern w:val="0"/>
          <w:sz w:val="32"/>
          <w:szCs w:val="32"/>
        </w:rPr>
        <w:t>预算数的主要原因是</w:t>
      </w:r>
      <w:r>
        <w:rPr>
          <w:rFonts w:hint="eastAsia" w:eastAsia="仿宋_GB2312" w:cs="Times New Roman"/>
          <w:bCs/>
          <w:kern w:val="0"/>
          <w:sz w:val="32"/>
          <w:szCs w:val="32"/>
          <w:lang w:eastAsia="zh-CN"/>
        </w:rPr>
        <w:t>调减了全年的一包方式管培训专项经费。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3.</w:t>
      </w:r>
      <w:r>
        <w:rPr>
          <w:rFonts w:hint="default" w:ascii="Times New Roman" w:hAnsi="Times New Roman" w:eastAsia="仿宋_GB2312" w:cs="Times New Roman"/>
          <w:bCs/>
          <w:kern w:val="0"/>
          <w:sz w:val="32"/>
          <w:szCs w:val="32"/>
        </w:rPr>
        <w:t>一般公共服务（类）党委办公厅（室）及相关机构事务（款）其他党委办公厅（室）及相关机构事务支出（项）。年初预算为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28.37</w:t>
      </w:r>
      <w:r>
        <w:rPr>
          <w:rFonts w:hint="default" w:ascii="Times New Roman" w:hAnsi="Times New Roman" w:eastAsia="仿宋_GB2312" w:cs="Times New Roman"/>
          <w:bCs/>
          <w:kern w:val="0"/>
          <w:sz w:val="32"/>
          <w:szCs w:val="32"/>
        </w:rPr>
        <w:t>万元。决算数</w:t>
      </w:r>
      <w:r>
        <w:rPr>
          <w:rFonts w:hint="eastAsia"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w:t>
      </w:r>
      <w:r>
        <w:rPr>
          <w:rFonts w:hint="eastAsia" w:eastAsia="仿宋_GB2312" w:cs="Times New Roman"/>
          <w:bCs/>
          <w:kern w:val="0"/>
          <w:sz w:val="32"/>
          <w:szCs w:val="32"/>
          <w:lang w:eastAsia="zh-CN"/>
        </w:rPr>
        <w:t>该项经费为当年追加</w:t>
      </w:r>
      <w:r>
        <w:rPr>
          <w:rFonts w:hint="eastAsia" w:eastAsia="仿宋_GB2312" w:cs="Times New Roman"/>
          <w:bCs/>
          <w:kern w:val="0"/>
          <w:sz w:val="32"/>
          <w:szCs w:val="32"/>
          <w:lang w:val="en-US" w:eastAsia="zh-CN"/>
        </w:rPr>
        <w:t>2020年二层机构聘用人员专项经费</w:t>
      </w:r>
      <w:r>
        <w:rPr>
          <w:rFonts w:hint="eastAsia" w:eastAsia="仿宋_GB2312" w:cs="Times New Roman"/>
          <w:bCs/>
          <w:kern w:val="0"/>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一般公共服务（类）其他共产党事务支出（款）行政运行（项）。年初预算为</w:t>
      </w:r>
      <w:r>
        <w:rPr>
          <w:rFonts w:hint="eastAsia" w:eastAsia="仿宋_GB2312" w:cs="Times New Roman"/>
          <w:bCs/>
          <w:kern w:val="0"/>
          <w:sz w:val="32"/>
          <w:szCs w:val="32"/>
          <w:lang w:val="en-US" w:eastAsia="zh-CN"/>
        </w:rPr>
        <w:t>215.69</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222.09</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102.97</w:t>
      </w:r>
      <w:r>
        <w:rPr>
          <w:rFonts w:hint="default" w:ascii="Times New Roman" w:hAnsi="Times New Roman" w:eastAsia="仿宋_GB2312" w:cs="Times New Roman"/>
          <w:bCs/>
          <w:kern w:val="0"/>
          <w:sz w:val="32"/>
          <w:szCs w:val="32"/>
        </w:rPr>
        <w:t>%。决算数</w:t>
      </w:r>
      <w:r>
        <w:rPr>
          <w:rFonts w:hint="eastAsia"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预算数的主要原因是</w:t>
      </w:r>
      <w:r>
        <w:rPr>
          <w:rFonts w:hint="eastAsia" w:eastAsia="仿宋_GB2312" w:cs="Times New Roman"/>
          <w:bCs/>
          <w:kern w:val="0"/>
          <w:sz w:val="32"/>
          <w:szCs w:val="32"/>
          <w:lang w:eastAsia="zh-CN"/>
        </w:rPr>
        <w:t>当年追加了</w:t>
      </w:r>
      <w:r>
        <w:rPr>
          <w:rFonts w:hint="eastAsia" w:eastAsia="仿宋_GB2312" w:cs="Times New Roman"/>
          <w:bCs/>
          <w:kern w:val="0"/>
          <w:sz w:val="32"/>
          <w:szCs w:val="32"/>
          <w:lang w:val="en-US" w:eastAsia="zh-CN"/>
        </w:rPr>
        <w:t>2019年度绩效考评奖励经费</w:t>
      </w:r>
      <w:r>
        <w:rPr>
          <w:rFonts w:hint="eastAsia"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一般公共服务（类）网信事务（款）行政运行（项）。年初预算为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1.71</w:t>
      </w:r>
      <w:r>
        <w:rPr>
          <w:rFonts w:hint="default" w:ascii="Times New Roman" w:hAnsi="Times New Roman" w:eastAsia="仿宋_GB2312" w:cs="Times New Roman"/>
          <w:bCs/>
          <w:kern w:val="0"/>
          <w:sz w:val="32"/>
          <w:szCs w:val="32"/>
        </w:rPr>
        <w:t>万元。决算数</w:t>
      </w:r>
      <w:r>
        <w:rPr>
          <w:rFonts w:hint="eastAsia"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预算数的主要原因是</w:t>
      </w:r>
      <w:r>
        <w:rPr>
          <w:rFonts w:hint="eastAsia" w:eastAsia="仿宋_GB2312" w:cs="Times New Roman"/>
          <w:bCs/>
          <w:kern w:val="0"/>
          <w:sz w:val="32"/>
          <w:szCs w:val="32"/>
          <w:lang w:eastAsia="zh-CN"/>
        </w:rPr>
        <w:t>当年追加了</w:t>
      </w:r>
      <w:r>
        <w:rPr>
          <w:rFonts w:hint="eastAsia" w:eastAsia="仿宋_GB2312" w:cs="Times New Roman"/>
          <w:bCs/>
          <w:kern w:val="0"/>
          <w:sz w:val="32"/>
          <w:szCs w:val="32"/>
          <w:lang w:val="en-US" w:eastAsia="zh-CN"/>
        </w:rPr>
        <w:t>2019年度核</w:t>
      </w:r>
      <w:r>
        <w:rPr>
          <w:rFonts w:hint="eastAsia" w:eastAsia="仿宋_GB2312" w:cs="Times New Roman"/>
          <w:bCs/>
          <w:kern w:val="0"/>
          <w:sz w:val="32"/>
          <w:szCs w:val="32"/>
          <w:lang w:eastAsia="zh-CN"/>
        </w:rPr>
        <w:t>优秀奖励费及增人增资经费。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6.</w:t>
      </w:r>
      <w:r>
        <w:rPr>
          <w:rFonts w:hint="default" w:ascii="Times New Roman" w:hAnsi="Times New Roman" w:eastAsia="仿宋_GB2312" w:cs="Times New Roman"/>
          <w:bCs/>
          <w:kern w:val="0"/>
          <w:sz w:val="32"/>
          <w:szCs w:val="32"/>
        </w:rPr>
        <w:t>一般公共服务（类）网信事务（款）</w:t>
      </w:r>
      <w:r>
        <w:rPr>
          <w:rFonts w:hint="eastAsia" w:eastAsia="仿宋_GB2312" w:cs="Times New Roman"/>
          <w:bCs/>
          <w:kern w:val="0"/>
          <w:sz w:val="32"/>
          <w:szCs w:val="32"/>
          <w:lang w:eastAsia="zh-CN"/>
        </w:rPr>
        <w:t>事业</w:t>
      </w:r>
      <w:r>
        <w:rPr>
          <w:rFonts w:hint="default" w:ascii="Times New Roman" w:hAnsi="Times New Roman" w:eastAsia="仿宋_GB2312" w:cs="Times New Roman"/>
          <w:bCs/>
          <w:kern w:val="0"/>
          <w:sz w:val="32"/>
          <w:szCs w:val="32"/>
        </w:rPr>
        <w:t>运行（项）。年初预算为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1.08</w:t>
      </w:r>
      <w:r>
        <w:rPr>
          <w:rFonts w:hint="default" w:ascii="Times New Roman" w:hAnsi="Times New Roman" w:eastAsia="仿宋_GB2312" w:cs="Times New Roman"/>
          <w:bCs/>
          <w:kern w:val="0"/>
          <w:sz w:val="32"/>
          <w:szCs w:val="32"/>
        </w:rPr>
        <w:t>万元。决算数</w:t>
      </w:r>
      <w:r>
        <w:rPr>
          <w:rFonts w:hint="eastAsia"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预算数的主要原因是</w:t>
      </w:r>
      <w:r>
        <w:rPr>
          <w:rFonts w:hint="eastAsia" w:eastAsia="仿宋_GB2312" w:cs="Times New Roman"/>
          <w:bCs/>
          <w:kern w:val="0"/>
          <w:sz w:val="32"/>
          <w:szCs w:val="32"/>
          <w:lang w:eastAsia="zh-CN"/>
        </w:rPr>
        <w:t>当年追加了</w:t>
      </w:r>
      <w:r>
        <w:rPr>
          <w:rFonts w:hint="eastAsia" w:eastAsia="仿宋_GB2312" w:cs="Times New Roman"/>
          <w:bCs/>
          <w:kern w:val="0"/>
          <w:sz w:val="32"/>
          <w:szCs w:val="32"/>
          <w:lang w:val="en-US" w:eastAsia="zh-CN"/>
        </w:rPr>
        <w:t>2019年度绩效考评奖励经费</w:t>
      </w:r>
      <w:r>
        <w:rPr>
          <w:rFonts w:hint="eastAsia" w:eastAsia="仿宋_GB2312" w:cs="Times New Roman"/>
          <w:bCs/>
          <w:kern w:val="0"/>
          <w:sz w:val="32"/>
          <w:szCs w:val="32"/>
          <w:lang w:eastAsia="zh-CN"/>
        </w:rPr>
        <w:t>及增人增资经费。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eastAsia="仿宋_GB2312" w:cs="Times New Roman"/>
          <w:bCs/>
          <w:kern w:val="0"/>
          <w:sz w:val="32"/>
          <w:szCs w:val="32"/>
          <w:lang w:val="en-US" w:eastAsia="zh-CN"/>
        </w:rPr>
      </w:pPr>
      <w:r>
        <w:rPr>
          <w:rFonts w:hint="eastAsia" w:eastAsia="仿宋_GB2312" w:cs="Times New Roman"/>
          <w:bCs/>
          <w:kern w:val="0"/>
          <w:sz w:val="32"/>
          <w:szCs w:val="32"/>
          <w:lang w:val="en-US" w:eastAsia="zh-CN"/>
        </w:rPr>
        <w:t>7.</w:t>
      </w:r>
      <w:r>
        <w:rPr>
          <w:rFonts w:hint="default" w:ascii="Times New Roman" w:hAnsi="Times New Roman" w:eastAsia="仿宋_GB2312" w:cs="Times New Roman"/>
          <w:bCs/>
          <w:kern w:val="0"/>
          <w:sz w:val="32"/>
          <w:szCs w:val="32"/>
        </w:rPr>
        <w:t>社会保障和就业支出（类）行政事业单位养老支出（款）行政单位离退休（项）。年初预算为</w:t>
      </w:r>
      <w:r>
        <w:rPr>
          <w:rFonts w:hint="eastAsia" w:eastAsia="仿宋_GB2312" w:cs="Times New Roman"/>
          <w:bCs/>
          <w:kern w:val="0"/>
          <w:sz w:val="32"/>
          <w:szCs w:val="32"/>
          <w:lang w:val="en-US" w:eastAsia="zh-CN"/>
        </w:rPr>
        <w:t>11.2</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13.02</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102.97</w:t>
      </w:r>
      <w:r>
        <w:rPr>
          <w:rFonts w:hint="default" w:ascii="Times New Roman" w:hAnsi="Times New Roman" w:eastAsia="仿宋_GB2312" w:cs="Times New Roman"/>
          <w:bCs/>
          <w:kern w:val="0"/>
          <w:sz w:val="32"/>
          <w:szCs w:val="32"/>
        </w:rPr>
        <w:t>%。决算数</w:t>
      </w:r>
      <w:r>
        <w:rPr>
          <w:rFonts w:hint="eastAsia"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预算数的主要原因是使用</w:t>
      </w:r>
      <w:r>
        <w:rPr>
          <w:rFonts w:hint="eastAsia" w:eastAsia="仿宋_GB2312" w:cs="Times New Roman"/>
          <w:bCs/>
          <w:kern w:val="0"/>
          <w:sz w:val="32"/>
          <w:szCs w:val="32"/>
          <w:lang w:eastAsia="zh-CN"/>
        </w:rPr>
        <w:t>上</w:t>
      </w:r>
      <w:r>
        <w:rPr>
          <w:rFonts w:hint="default" w:ascii="Times New Roman" w:hAnsi="Times New Roman" w:eastAsia="仿宋_GB2312" w:cs="Times New Roman"/>
          <w:bCs/>
          <w:kern w:val="0"/>
          <w:sz w:val="32"/>
          <w:szCs w:val="32"/>
        </w:rPr>
        <w:t>年度财政拨款结转资金</w:t>
      </w:r>
      <w:r>
        <w:rPr>
          <w:rFonts w:hint="eastAsia" w:eastAsia="仿宋_GB2312" w:cs="Times New Roman"/>
          <w:bCs/>
          <w:kern w:val="0"/>
          <w:sz w:val="32"/>
          <w:szCs w:val="32"/>
          <w:lang w:eastAsia="zh-CN"/>
        </w:rPr>
        <w:t>补发了退休人员计生费。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8.</w:t>
      </w:r>
      <w:r>
        <w:rPr>
          <w:rFonts w:hint="default" w:ascii="Times New Roman" w:hAnsi="Times New Roman" w:eastAsia="仿宋_GB2312" w:cs="Times New Roman"/>
          <w:bCs/>
          <w:kern w:val="0"/>
          <w:sz w:val="32"/>
          <w:szCs w:val="32"/>
        </w:rPr>
        <w:t>社会保障和就业支出（类）行政事业单位养老支出（款）机关事业单位基本养老保险缴费支出（项）。年初预算为</w:t>
      </w:r>
      <w:r>
        <w:rPr>
          <w:rFonts w:hint="eastAsia" w:eastAsia="仿宋_GB2312" w:cs="Times New Roman"/>
          <w:bCs/>
          <w:kern w:val="0"/>
          <w:sz w:val="32"/>
          <w:szCs w:val="32"/>
          <w:lang w:val="en-US" w:eastAsia="zh-CN"/>
        </w:rPr>
        <w:t>35.41</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27.65</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78.09</w:t>
      </w:r>
      <w:r>
        <w:rPr>
          <w:rFonts w:hint="default" w:ascii="Times New Roman" w:hAnsi="Times New Roman" w:eastAsia="仿宋_GB2312" w:cs="Times New Roman"/>
          <w:bCs/>
          <w:kern w:val="0"/>
          <w:sz w:val="32"/>
          <w:szCs w:val="32"/>
        </w:rPr>
        <w:t>%。决算数</w:t>
      </w:r>
      <w:r>
        <w:rPr>
          <w:rFonts w:hint="eastAsia" w:eastAsia="仿宋_GB2312" w:cs="Times New Roman"/>
          <w:bCs/>
          <w:kern w:val="0"/>
          <w:sz w:val="32"/>
          <w:szCs w:val="32"/>
          <w:lang w:eastAsia="zh-CN"/>
        </w:rPr>
        <w:t>小于</w:t>
      </w:r>
      <w:r>
        <w:rPr>
          <w:rFonts w:hint="default" w:ascii="Times New Roman" w:hAnsi="Times New Roman" w:eastAsia="仿宋_GB2312" w:cs="Times New Roman"/>
          <w:bCs/>
          <w:kern w:val="0"/>
          <w:sz w:val="32"/>
          <w:szCs w:val="32"/>
        </w:rPr>
        <w:t>预算数的主要原因</w:t>
      </w:r>
      <w:r>
        <w:rPr>
          <w:rFonts w:hint="eastAsia" w:eastAsia="仿宋_GB2312" w:cs="Times New Roman"/>
          <w:bCs/>
          <w:kern w:val="0"/>
          <w:sz w:val="32"/>
          <w:szCs w:val="32"/>
          <w:lang w:eastAsia="zh-CN"/>
        </w:rPr>
        <w:t>年社保合计基数与预算数不一致产生的差异。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社会保障和就业支出（类）行政事业单位养老支出（款）机关事业单位职业年金缴费支出（项）。年初预算为</w:t>
      </w:r>
      <w:r>
        <w:rPr>
          <w:rFonts w:hint="eastAsia" w:eastAsia="仿宋_GB2312" w:cs="Times New Roman"/>
          <w:bCs/>
          <w:kern w:val="0"/>
          <w:sz w:val="32"/>
          <w:szCs w:val="32"/>
          <w:lang w:val="en-US" w:eastAsia="zh-CN"/>
        </w:rPr>
        <w:t>17.7</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12.97</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73.28</w:t>
      </w:r>
      <w:r>
        <w:rPr>
          <w:rFonts w:hint="default" w:ascii="Times New Roman" w:hAnsi="Times New Roman" w:eastAsia="仿宋_GB2312" w:cs="Times New Roman"/>
          <w:bCs/>
          <w:kern w:val="0"/>
          <w:sz w:val="32"/>
          <w:szCs w:val="32"/>
        </w:rPr>
        <w:t>%。决算数</w:t>
      </w:r>
      <w:r>
        <w:rPr>
          <w:rFonts w:hint="eastAsia" w:eastAsia="仿宋_GB2312" w:cs="Times New Roman"/>
          <w:bCs/>
          <w:kern w:val="0"/>
          <w:sz w:val="32"/>
          <w:szCs w:val="32"/>
          <w:lang w:eastAsia="zh-CN"/>
        </w:rPr>
        <w:t>小于</w:t>
      </w:r>
      <w:r>
        <w:rPr>
          <w:rFonts w:hint="default" w:ascii="Times New Roman" w:hAnsi="Times New Roman" w:eastAsia="仿宋_GB2312" w:cs="Times New Roman"/>
          <w:bCs/>
          <w:kern w:val="0"/>
          <w:sz w:val="32"/>
          <w:szCs w:val="32"/>
        </w:rPr>
        <w:t>预算数的主要原因</w:t>
      </w:r>
      <w:r>
        <w:rPr>
          <w:rFonts w:hint="eastAsia" w:eastAsia="仿宋_GB2312" w:cs="Times New Roman"/>
          <w:bCs/>
          <w:kern w:val="0"/>
          <w:sz w:val="32"/>
          <w:szCs w:val="32"/>
          <w:lang w:eastAsia="zh-CN"/>
        </w:rPr>
        <w:t>年社保合计基数与预算数不一致产生的差异。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10.</w:t>
      </w:r>
      <w:r>
        <w:rPr>
          <w:rFonts w:hint="default" w:ascii="Times New Roman" w:hAnsi="Times New Roman" w:eastAsia="仿宋_GB2312" w:cs="Times New Roman"/>
          <w:bCs/>
          <w:kern w:val="0"/>
          <w:sz w:val="32"/>
          <w:szCs w:val="32"/>
        </w:rPr>
        <w:t>卫生健康支出（类）公共卫生（款）重大公共卫生服务（项）。年初预算为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4.87</w:t>
      </w:r>
      <w:r>
        <w:rPr>
          <w:rFonts w:hint="default" w:ascii="Times New Roman" w:hAnsi="Times New Roman" w:eastAsia="仿宋_GB2312" w:cs="Times New Roman"/>
          <w:bCs/>
          <w:kern w:val="0"/>
          <w:sz w:val="32"/>
          <w:szCs w:val="32"/>
        </w:rPr>
        <w:t>万元。决算数</w:t>
      </w:r>
      <w:r>
        <w:rPr>
          <w:rFonts w:hint="eastAsia"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预算数的主要原因使用</w:t>
      </w:r>
      <w:r>
        <w:rPr>
          <w:rFonts w:hint="eastAsia" w:eastAsia="仿宋_GB2312" w:cs="Times New Roman"/>
          <w:bCs/>
          <w:kern w:val="0"/>
          <w:sz w:val="32"/>
          <w:szCs w:val="32"/>
          <w:lang w:eastAsia="zh-CN"/>
        </w:rPr>
        <w:t>上</w:t>
      </w:r>
      <w:r>
        <w:rPr>
          <w:rFonts w:hint="default" w:ascii="Times New Roman" w:hAnsi="Times New Roman" w:eastAsia="仿宋_GB2312" w:cs="Times New Roman"/>
          <w:bCs/>
          <w:kern w:val="0"/>
          <w:sz w:val="32"/>
          <w:szCs w:val="32"/>
        </w:rPr>
        <w:t>年度财政拨款结转资金</w:t>
      </w:r>
      <w:r>
        <w:rPr>
          <w:rFonts w:hint="eastAsia" w:eastAsia="仿宋_GB2312" w:cs="Times New Roman"/>
          <w:bCs/>
          <w:kern w:val="0"/>
          <w:sz w:val="32"/>
          <w:szCs w:val="32"/>
          <w:lang w:eastAsia="zh-CN"/>
        </w:rPr>
        <w:t>支付市群众信访服务中心心理咨询室配套相关。</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11.</w:t>
      </w:r>
      <w:r>
        <w:rPr>
          <w:rFonts w:hint="default" w:ascii="Times New Roman" w:hAnsi="Times New Roman" w:eastAsia="仿宋_GB2312" w:cs="Times New Roman"/>
          <w:bCs/>
          <w:kern w:val="0"/>
          <w:sz w:val="32"/>
          <w:szCs w:val="32"/>
        </w:rPr>
        <w:t>卫生健康支出（类）行政事业单位医疗（款）行政单位医疗（项）。年初预算为</w:t>
      </w:r>
      <w:r>
        <w:rPr>
          <w:rFonts w:hint="eastAsia" w:eastAsia="仿宋_GB2312" w:cs="Times New Roman"/>
          <w:bCs/>
          <w:kern w:val="0"/>
          <w:sz w:val="32"/>
          <w:szCs w:val="32"/>
          <w:lang w:val="en-US" w:eastAsia="zh-CN"/>
        </w:rPr>
        <w:t>15.64</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11.96</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76.47</w:t>
      </w:r>
      <w:r>
        <w:rPr>
          <w:rFonts w:hint="default" w:ascii="Times New Roman" w:hAnsi="Times New Roman" w:eastAsia="仿宋_GB2312" w:cs="Times New Roman"/>
          <w:bCs/>
          <w:kern w:val="0"/>
          <w:sz w:val="32"/>
          <w:szCs w:val="32"/>
        </w:rPr>
        <w:t>%。决算数</w:t>
      </w:r>
      <w:r>
        <w:rPr>
          <w:rFonts w:hint="eastAsia" w:eastAsia="仿宋_GB2312" w:cs="Times New Roman"/>
          <w:bCs/>
          <w:kern w:val="0"/>
          <w:sz w:val="32"/>
          <w:szCs w:val="32"/>
          <w:lang w:eastAsia="zh-CN"/>
        </w:rPr>
        <w:t>小于</w:t>
      </w:r>
      <w:r>
        <w:rPr>
          <w:rFonts w:hint="default" w:ascii="Times New Roman" w:hAnsi="Times New Roman" w:eastAsia="仿宋_GB2312" w:cs="Times New Roman"/>
          <w:bCs/>
          <w:kern w:val="0"/>
          <w:sz w:val="32"/>
          <w:szCs w:val="32"/>
        </w:rPr>
        <w:t>预算数的主要原因</w:t>
      </w:r>
      <w:r>
        <w:rPr>
          <w:rFonts w:hint="eastAsia" w:eastAsia="仿宋_GB2312" w:cs="Times New Roman"/>
          <w:bCs/>
          <w:kern w:val="0"/>
          <w:sz w:val="32"/>
          <w:szCs w:val="32"/>
          <w:lang w:eastAsia="zh-CN"/>
        </w:rPr>
        <w:t>年社保合计基数与预算数不一致产生的差异。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eastAsia="仿宋_GB2312" w:cs="Times New Roman"/>
          <w:bCs/>
          <w:kern w:val="0"/>
          <w:sz w:val="32"/>
          <w:szCs w:val="32"/>
          <w:lang w:eastAsia="zh-CN"/>
        </w:rPr>
      </w:pPr>
      <w:r>
        <w:rPr>
          <w:rFonts w:hint="eastAsia" w:eastAsia="仿宋_GB2312" w:cs="Times New Roman"/>
          <w:bCs/>
          <w:kern w:val="0"/>
          <w:sz w:val="32"/>
          <w:szCs w:val="32"/>
          <w:lang w:val="en-US" w:eastAsia="zh-CN"/>
        </w:rPr>
        <w:t>12.</w:t>
      </w:r>
      <w:r>
        <w:rPr>
          <w:rFonts w:hint="default" w:ascii="Times New Roman" w:hAnsi="Times New Roman" w:eastAsia="仿宋_GB2312" w:cs="Times New Roman"/>
          <w:bCs/>
          <w:kern w:val="0"/>
          <w:sz w:val="32"/>
          <w:szCs w:val="32"/>
        </w:rPr>
        <w:t>卫生健康支出（类）行政事业单位医疗（款）</w:t>
      </w:r>
      <w:r>
        <w:rPr>
          <w:rFonts w:hint="eastAsia" w:eastAsia="仿宋_GB2312" w:cs="Times New Roman"/>
          <w:bCs/>
          <w:kern w:val="0"/>
          <w:sz w:val="32"/>
          <w:szCs w:val="32"/>
          <w:lang w:eastAsia="zh-CN"/>
        </w:rPr>
        <w:t>事业</w:t>
      </w:r>
      <w:r>
        <w:rPr>
          <w:rFonts w:hint="default" w:ascii="Times New Roman" w:hAnsi="Times New Roman" w:eastAsia="仿宋_GB2312" w:cs="Times New Roman"/>
          <w:bCs/>
          <w:kern w:val="0"/>
          <w:sz w:val="32"/>
          <w:szCs w:val="32"/>
        </w:rPr>
        <w:t>单位医疗（项）。年初预算为</w:t>
      </w:r>
      <w:r>
        <w:rPr>
          <w:rFonts w:hint="eastAsia" w:eastAsia="仿宋_GB2312" w:cs="Times New Roman"/>
          <w:bCs/>
          <w:kern w:val="0"/>
          <w:sz w:val="32"/>
          <w:szCs w:val="32"/>
          <w:lang w:val="en-US" w:eastAsia="zh-CN"/>
        </w:rPr>
        <w:t>0.98</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1.23</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125.51</w:t>
      </w:r>
      <w:r>
        <w:rPr>
          <w:rFonts w:hint="default" w:ascii="Times New Roman" w:hAnsi="Times New Roman" w:eastAsia="仿宋_GB2312" w:cs="Times New Roman"/>
          <w:bCs/>
          <w:kern w:val="0"/>
          <w:sz w:val="32"/>
          <w:szCs w:val="32"/>
        </w:rPr>
        <w:t>%。决算数</w:t>
      </w:r>
      <w:r>
        <w:rPr>
          <w:rFonts w:hint="eastAsia"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w:t>
      </w:r>
      <w:r>
        <w:rPr>
          <w:rFonts w:hint="eastAsia" w:eastAsia="仿宋_GB2312" w:cs="Times New Roman"/>
          <w:bCs/>
          <w:kern w:val="0"/>
          <w:sz w:val="32"/>
          <w:szCs w:val="32"/>
          <w:lang w:eastAsia="zh-CN"/>
        </w:rPr>
        <w:t>当年追加</w:t>
      </w:r>
      <w:r>
        <w:rPr>
          <w:rFonts w:hint="eastAsia" w:eastAsia="仿宋_GB2312" w:cs="Times New Roman"/>
          <w:bCs/>
          <w:kern w:val="0"/>
          <w:sz w:val="32"/>
          <w:szCs w:val="32"/>
          <w:lang w:val="en-US" w:eastAsia="zh-CN"/>
        </w:rPr>
        <w:t>2020年增人增资经费</w:t>
      </w:r>
      <w:r>
        <w:rPr>
          <w:rFonts w:hint="eastAsia"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eastAsia="仿宋_GB2312" w:cs="Times New Roman"/>
          <w:bCs/>
          <w:kern w:val="0"/>
          <w:sz w:val="32"/>
          <w:szCs w:val="32"/>
          <w:lang w:val="en-US" w:eastAsia="zh-CN"/>
        </w:rPr>
      </w:pPr>
      <w:r>
        <w:rPr>
          <w:rFonts w:hint="eastAsia" w:eastAsia="仿宋_GB2312" w:cs="Times New Roman"/>
          <w:bCs/>
          <w:kern w:val="0"/>
          <w:sz w:val="32"/>
          <w:szCs w:val="32"/>
          <w:lang w:val="en-US" w:eastAsia="zh-CN"/>
        </w:rPr>
        <w:t>13.</w:t>
      </w:r>
      <w:r>
        <w:rPr>
          <w:rFonts w:hint="default" w:ascii="Times New Roman" w:hAnsi="Times New Roman" w:eastAsia="仿宋_GB2312" w:cs="Times New Roman"/>
          <w:bCs/>
          <w:kern w:val="0"/>
          <w:sz w:val="32"/>
          <w:szCs w:val="32"/>
        </w:rPr>
        <w:t>卫生健康支出（类）行政事业单位医疗（款）</w:t>
      </w:r>
      <w:r>
        <w:rPr>
          <w:rFonts w:hint="eastAsia" w:eastAsia="仿宋_GB2312" w:cs="Times New Roman"/>
          <w:bCs/>
          <w:kern w:val="0"/>
          <w:sz w:val="32"/>
          <w:szCs w:val="32"/>
          <w:lang w:eastAsia="zh-CN"/>
        </w:rPr>
        <w:t>公务员医疗补助</w:t>
      </w:r>
      <w:r>
        <w:rPr>
          <w:rFonts w:hint="default" w:ascii="Times New Roman" w:hAnsi="Times New Roman" w:eastAsia="仿宋_GB2312" w:cs="Times New Roman"/>
          <w:bCs/>
          <w:kern w:val="0"/>
          <w:sz w:val="32"/>
          <w:szCs w:val="32"/>
        </w:rPr>
        <w:t>（项）。年初预算为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15.37</w:t>
      </w:r>
      <w:r>
        <w:rPr>
          <w:rFonts w:hint="default" w:ascii="Times New Roman" w:hAnsi="Times New Roman" w:eastAsia="仿宋_GB2312" w:cs="Times New Roman"/>
          <w:bCs/>
          <w:kern w:val="0"/>
          <w:sz w:val="32"/>
          <w:szCs w:val="32"/>
        </w:rPr>
        <w:t>万元。决算数</w:t>
      </w:r>
      <w:r>
        <w:rPr>
          <w:rFonts w:hint="eastAsia"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w:t>
      </w:r>
      <w:r>
        <w:rPr>
          <w:rFonts w:hint="eastAsia" w:eastAsia="仿宋_GB2312" w:cs="Times New Roman"/>
          <w:bCs/>
          <w:kern w:val="0"/>
          <w:sz w:val="32"/>
          <w:szCs w:val="32"/>
          <w:lang w:eastAsia="zh-CN"/>
        </w:rPr>
        <w:t>当年追加</w:t>
      </w:r>
      <w:r>
        <w:rPr>
          <w:rFonts w:hint="eastAsia" w:eastAsia="仿宋_GB2312" w:cs="Times New Roman"/>
          <w:bCs/>
          <w:kern w:val="0"/>
          <w:sz w:val="32"/>
          <w:szCs w:val="32"/>
          <w:lang w:val="en-US" w:eastAsia="zh-CN"/>
        </w:rPr>
        <w:t>2020年公务员医疗补助经费。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eastAsia="仿宋_GB2312" w:cs="Times New Roman"/>
          <w:bCs/>
          <w:kern w:val="0"/>
          <w:sz w:val="32"/>
          <w:szCs w:val="32"/>
          <w:lang w:val="en-US" w:eastAsia="zh-CN"/>
        </w:rPr>
      </w:pPr>
      <w:r>
        <w:rPr>
          <w:rFonts w:hint="eastAsia" w:eastAsia="仿宋_GB2312" w:cs="Times New Roman"/>
          <w:bCs/>
          <w:kern w:val="0"/>
          <w:sz w:val="32"/>
          <w:szCs w:val="32"/>
          <w:lang w:val="en-US" w:eastAsia="zh-CN"/>
        </w:rPr>
        <w:t>14.</w:t>
      </w:r>
      <w:r>
        <w:rPr>
          <w:rFonts w:hint="default" w:ascii="Times New Roman" w:hAnsi="Times New Roman" w:eastAsia="仿宋_GB2312" w:cs="Times New Roman"/>
          <w:bCs/>
          <w:kern w:val="0"/>
          <w:sz w:val="32"/>
          <w:szCs w:val="32"/>
        </w:rPr>
        <w:t>住房保障支出（类）住房改革支出（款）</w:t>
      </w:r>
      <w:r>
        <w:rPr>
          <w:rFonts w:hint="eastAsia" w:eastAsia="仿宋_GB2312" w:cs="Times New Roman"/>
          <w:bCs/>
          <w:kern w:val="0"/>
          <w:sz w:val="32"/>
          <w:szCs w:val="32"/>
          <w:lang w:eastAsia="zh-CN"/>
        </w:rPr>
        <w:t>住房公积金</w:t>
      </w:r>
      <w:r>
        <w:rPr>
          <w:rFonts w:hint="default" w:ascii="Times New Roman" w:hAnsi="Times New Roman" w:eastAsia="仿宋_GB2312" w:cs="Times New Roman"/>
          <w:bCs/>
          <w:kern w:val="0"/>
          <w:sz w:val="32"/>
          <w:szCs w:val="32"/>
        </w:rPr>
        <w:t>（项）。年初预算为</w:t>
      </w:r>
      <w:r>
        <w:rPr>
          <w:rFonts w:hint="eastAsia" w:eastAsia="仿宋_GB2312" w:cs="Times New Roman"/>
          <w:bCs/>
          <w:kern w:val="0"/>
          <w:sz w:val="32"/>
          <w:szCs w:val="32"/>
          <w:lang w:val="en-US" w:eastAsia="zh-CN"/>
        </w:rPr>
        <w:t>26.56</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28.02</w:t>
      </w:r>
      <w:r>
        <w:rPr>
          <w:rFonts w:hint="default" w:ascii="Times New Roman" w:hAnsi="Times New Roman" w:eastAsia="仿宋_GB2312" w:cs="Times New Roman"/>
          <w:bCs/>
          <w:kern w:val="0"/>
          <w:sz w:val="32"/>
          <w:szCs w:val="32"/>
        </w:rPr>
        <w:t>万元，完成年初预算的</w:t>
      </w:r>
      <w:r>
        <w:rPr>
          <w:rFonts w:hint="eastAsia" w:eastAsia="仿宋_GB2312" w:cs="Times New Roman"/>
          <w:bCs/>
          <w:kern w:val="0"/>
          <w:sz w:val="32"/>
          <w:szCs w:val="32"/>
          <w:lang w:val="en-US" w:eastAsia="zh-CN"/>
        </w:rPr>
        <w:t>105.5</w:t>
      </w:r>
      <w:r>
        <w:rPr>
          <w:rFonts w:hint="default" w:ascii="Times New Roman" w:hAnsi="Times New Roman" w:eastAsia="仿宋_GB2312" w:cs="Times New Roman"/>
          <w:bCs/>
          <w:kern w:val="0"/>
          <w:sz w:val="32"/>
          <w:szCs w:val="32"/>
        </w:rPr>
        <w:t>%。决算数</w:t>
      </w:r>
      <w:r>
        <w:rPr>
          <w:rFonts w:hint="eastAsia"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w:t>
      </w:r>
      <w:r>
        <w:rPr>
          <w:rFonts w:hint="eastAsia" w:eastAsia="仿宋_GB2312" w:cs="Times New Roman"/>
          <w:bCs/>
          <w:kern w:val="0"/>
          <w:sz w:val="32"/>
          <w:szCs w:val="32"/>
          <w:lang w:eastAsia="zh-CN"/>
        </w:rPr>
        <w:t>当年追加</w:t>
      </w:r>
      <w:r>
        <w:rPr>
          <w:rFonts w:hint="eastAsia" w:eastAsia="仿宋_GB2312" w:cs="Times New Roman"/>
          <w:bCs/>
          <w:kern w:val="0"/>
          <w:sz w:val="32"/>
          <w:szCs w:val="32"/>
          <w:lang w:val="en-US" w:eastAsia="zh-CN"/>
        </w:rPr>
        <w:t>2020年增人增资经费。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bCs w:val="0"/>
          <w:kern w:val="0"/>
          <w:sz w:val="32"/>
          <w:szCs w:val="32"/>
        </w:rPr>
        <w:t>六、2020年度</w:t>
      </w:r>
      <w:r>
        <w:rPr>
          <w:rFonts w:hint="default" w:ascii="Times New Roman" w:hAnsi="Times New Roman" w:eastAsia="仿宋_GB2312" w:cs="Times New Roman"/>
          <w:b/>
          <w:kern w:val="0"/>
          <w:sz w:val="32"/>
          <w:szCs w:val="32"/>
        </w:rPr>
        <w:t>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2020年度财政拨款基本支出</w:t>
      </w:r>
      <w:r>
        <w:rPr>
          <w:rFonts w:hint="eastAsia" w:eastAsia="仿宋_GB2312" w:cs="Times New Roman"/>
          <w:bCs/>
          <w:kern w:val="0"/>
          <w:sz w:val="32"/>
          <w:szCs w:val="32"/>
          <w:lang w:val="en-US" w:eastAsia="zh-CN"/>
        </w:rPr>
        <w:t>355.19</w:t>
      </w:r>
      <w:r>
        <w:rPr>
          <w:rFonts w:hint="default" w:ascii="Times New Roman" w:hAnsi="Times New Roman" w:eastAsia="仿宋_GB2312" w:cs="Times New Roman"/>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人员经费</w:t>
      </w:r>
      <w:r>
        <w:rPr>
          <w:rFonts w:hint="eastAsia" w:eastAsia="仿宋_GB2312" w:cs="Times New Roman"/>
          <w:bCs/>
          <w:kern w:val="0"/>
          <w:sz w:val="32"/>
          <w:szCs w:val="32"/>
          <w:lang w:val="en-US" w:eastAsia="zh-CN"/>
        </w:rPr>
        <w:t>321.97</w:t>
      </w:r>
      <w:r>
        <w:rPr>
          <w:rFonts w:hint="default" w:ascii="Times New Roman" w:hAnsi="Times New Roman" w:eastAsia="仿宋_GB2312" w:cs="Times New Roman"/>
          <w:bCs/>
          <w:kern w:val="0"/>
          <w:sz w:val="32"/>
          <w:szCs w:val="32"/>
        </w:rPr>
        <w:t>万元，主要包括：基本工资、津贴补贴、 奖金、绩效工资、机关事业单位基本养老保险缴费、职业年金缴费、其他社会保障缴费、其他工资福利支出、退休费、抚恤金、生活补助、医疗费、奖励金、住房公积金；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公用经费</w:t>
      </w:r>
      <w:r>
        <w:rPr>
          <w:rFonts w:hint="eastAsia" w:eastAsia="仿宋_GB2312" w:cs="Times New Roman"/>
          <w:bCs/>
          <w:kern w:val="0"/>
          <w:sz w:val="32"/>
          <w:szCs w:val="32"/>
          <w:lang w:val="en-US" w:eastAsia="zh-CN"/>
        </w:rPr>
        <w:t>33.22</w:t>
      </w:r>
      <w:r>
        <w:rPr>
          <w:rFonts w:hint="default" w:ascii="Times New Roman" w:hAnsi="Times New Roman" w:eastAsia="仿宋_GB2312" w:cs="Times New Roman"/>
          <w:bCs/>
          <w:kern w:val="0"/>
          <w:sz w:val="32"/>
          <w:szCs w:val="32"/>
        </w:rPr>
        <w:t>万元，主要包括：办公费、印刷费、水费、电费、邮电 费、物业管理费、差旅费、维修（护）费、会议费、培训费、公务接待费、劳务费、工会经费、其他商品和服务支出</w:t>
      </w:r>
      <w:r>
        <w:rPr>
          <w:rFonts w:hint="eastAsia"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val="0"/>
          <w:kern w:val="0"/>
          <w:sz w:val="32"/>
          <w:szCs w:val="32"/>
        </w:rPr>
        <w:t xml:space="preserve">七、2020 </w:t>
      </w:r>
      <w:r>
        <w:rPr>
          <w:rFonts w:hint="default" w:ascii="Times New Roman" w:hAnsi="Times New Roman" w:eastAsia="仿宋_GB2312" w:cs="Times New Roman"/>
          <w:b/>
          <w:kern w:val="0"/>
          <w:sz w:val="32"/>
          <w:szCs w:val="32"/>
        </w:rPr>
        <w:t>年度一般公共预算财政拨款“三公” 经费支出决算情况</w:t>
      </w:r>
      <w:r>
        <w:rPr>
          <w:rFonts w:hint="default" w:ascii="Times New Roman" w:hAnsi="Times New Roman" w:eastAsia="仿宋_GB2312" w:cs="Times New Roman"/>
          <w:bCs/>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（一）“三公”经费财政拨款支出决算总体情况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2020 年度“三公”经费财政拨款支出预算为</w:t>
      </w:r>
      <w:r>
        <w:rPr>
          <w:rFonts w:hint="eastAsia" w:eastAsia="仿宋_GB2312" w:cs="Times New Roman"/>
          <w:bCs/>
          <w:kern w:val="0"/>
          <w:sz w:val="32"/>
          <w:szCs w:val="32"/>
          <w:lang w:val="en-US" w:eastAsia="zh-CN"/>
        </w:rPr>
        <w:t>1.93</w:t>
      </w:r>
      <w:r>
        <w:rPr>
          <w:rFonts w:hint="default" w:ascii="Times New Roman" w:hAnsi="Times New Roman" w:eastAsia="仿宋_GB2312" w:cs="Times New Roman"/>
          <w:bCs/>
          <w:kern w:val="0"/>
          <w:sz w:val="32"/>
          <w:szCs w:val="32"/>
        </w:rPr>
        <w:t>万元，支出决算为</w:t>
      </w:r>
      <w:r>
        <w:rPr>
          <w:rFonts w:hint="eastAsia" w:eastAsia="仿宋_GB2312" w:cs="Times New Roman"/>
          <w:bCs/>
          <w:kern w:val="0"/>
          <w:sz w:val="32"/>
          <w:szCs w:val="32"/>
          <w:lang w:val="en-US" w:eastAsia="zh-CN"/>
        </w:rPr>
        <w:t>0.71</w:t>
      </w:r>
      <w:r>
        <w:rPr>
          <w:rFonts w:hint="default" w:ascii="Times New Roman" w:hAnsi="Times New Roman" w:eastAsia="仿宋_GB2312" w:cs="Times New Roman"/>
          <w:bCs/>
          <w:kern w:val="0"/>
          <w:sz w:val="32"/>
          <w:szCs w:val="32"/>
        </w:rPr>
        <w:t>万元，完成预算的</w:t>
      </w:r>
      <w:r>
        <w:rPr>
          <w:rFonts w:hint="eastAsia" w:eastAsia="仿宋_GB2312" w:cs="Times New Roman"/>
          <w:bCs/>
          <w:kern w:val="0"/>
          <w:sz w:val="32"/>
          <w:szCs w:val="32"/>
          <w:lang w:val="en-US" w:eastAsia="zh-CN"/>
        </w:rPr>
        <w:t>36.79</w:t>
      </w:r>
      <w:r>
        <w:rPr>
          <w:rFonts w:hint="default" w:ascii="Times New Roman" w:hAnsi="Times New Roman" w:eastAsia="仿宋_GB2312" w:cs="Times New Roman"/>
          <w:bCs/>
          <w:kern w:val="0"/>
          <w:sz w:val="32"/>
          <w:szCs w:val="32"/>
        </w:rPr>
        <w:t>%，其中：因公出国（境）费支出决算为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万元，完成预算的</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%；公务用车购置及运行费支出决算为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万元，完成预算的</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%；公务接待费支出决算为</w:t>
      </w:r>
      <w:r>
        <w:rPr>
          <w:rFonts w:hint="eastAsia" w:eastAsia="仿宋_GB2312" w:cs="Times New Roman"/>
          <w:bCs/>
          <w:kern w:val="0"/>
          <w:sz w:val="32"/>
          <w:szCs w:val="32"/>
          <w:lang w:val="en-US" w:eastAsia="zh-CN"/>
        </w:rPr>
        <w:t>0.71</w:t>
      </w:r>
      <w:r>
        <w:rPr>
          <w:rFonts w:hint="default" w:ascii="Times New Roman" w:hAnsi="Times New Roman" w:eastAsia="仿宋_GB2312" w:cs="Times New Roman"/>
          <w:bCs/>
          <w:kern w:val="0"/>
          <w:sz w:val="32"/>
          <w:szCs w:val="32"/>
        </w:rPr>
        <w:t>万元，完成预算的</w:t>
      </w:r>
      <w:r>
        <w:rPr>
          <w:rFonts w:hint="eastAsia" w:eastAsia="仿宋_GB2312" w:cs="Times New Roman"/>
          <w:bCs/>
          <w:kern w:val="0"/>
          <w:sz w:val="32"/>
          <w:szCs w:val="32"/>
          <w:lang w:val="en-US" w:eastAsia="zh-CN"/>
        </w:rPr>
        <w:t>36.79</w:t>
      </w:r>
      <w:r>
        <w:rPr>
          <w:rFonts w:hint="default" w:ascii="Times New Roman" w:hAnsi="Times New Roman" w:eastAsia="仿宋_GB2312" w:cs="Times New Roman"/>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2020年度“三公”经费财政拨款支出决算数比2019年减少</w:t>
      </w:r>
      <w:r>
        <w:rPr>
          <w:rFonts w:hint="eastAsia" w:eastAsia="仿宋_GB2312" w:cs="Times New Roman"/>
          <w:bCs/>
          <w:kern w:val="0"/>
          <w:sz w:val="32"/>
          <w:szCs w:val="32"/>
          <w:lang w:val="en-US" w:eastAsia="zh-CN"/>
        </w:rPr>
        <w:t>0.21</w:t>
      </w:r>
      <w:r>
        <w:rPr>
          <w:rFonts w:hint="default" w:ascii="Times New Roman" w:hAnsi="Times New Roman" w:eastAsia="仿宋_GB2312" w:cs="Times New Roman"/>
          <w:bCs/>
          <w:kern w:val="0"/>
          <w:sz w:val="32"/>
          <w:szCs w:val="32"/>
        </w:rPr>
        <w:t>万元，下降</w:t>
      </w:r>
      <w:r>
        <w:rPr>
          <w:rFonts w:hint="eastAsia" w:eastAsia="仿宋_GB2312" w:cs="Times New Roman"/>
          <w:bCs/>
          <w:kern w:val="0"/>
          <w:sz w:val="32"/>
          <w:szCs w:val="32"/>
          <w:lang w:val="en-US" w:eastAsia="zh-CN"/>
        </w:rPr>
        <w:t>22.83</w:t>
      </w:r>
      <w:r>
        <w:rPr>
          <w:rFonts w:hint="default" w:ascii="Times New Roman" w:hAnsi="Times New Roman" w:eastAsia="仿宋_GB2312" w:cs="Times New Roman"/>
          <w:bCs/>
          <w:kern w:val="0"/>
          <w:sz w:val="32"/>
          <w:szCs w:val="32"/>
        </w:rPr>
        <w:t>%，其中：因公出国（境）费支出决 算减少</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万元，下降</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%；公务用车购置及运行费支出决算减少</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万元，下降</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%；公务接待费支出决算减少</w:t>
      </w:r>
      <w:r>
        <w:rPr>
          <w:rFonts w:hint="eastAsia" w:eastAsia="仿宋_GB2312" w:cs="Times New Roman"/>
          <w:bCs/>
          <w:kern w:val="0"/>
          <w:sz w:val="32"/>
          <w:szCs w:val="32"/>
          <w:lang w:val="en-US" w:eastAsia="zh-CN"/>
        </w:rPr>
        <w:t>0.21</w:t>
      </w:r>
      <w:r>
        <w:rPr>
          <w:rFonts w:hint="default" w:ascii="Times New Roman" w:hAnsi="Times New Roman" w:eastAsia="仿宋_GB2312" w:cs="Times New Roman"/>
          <w:bCs/>
          <w:kern w:val="0"/>
          <w:sz w:val="32"/>
          <w:szCs w:val="32"/>
        </w:rPr>
        <w:t>万元，下降</w:t>
      </w:r>
      <w:r>
        <w:rPr>
          <w:rFonts w:hint="eastAsia" w:eastAsia="仿宋_GB2312" w:cs="Times New Roman"/>
          <w:bCs/>
          <w:kern w:val="0"/>
          <w:sz w:val="32"/>
          <w:szCs w:val="32"/>
          <w:lang w:val="en-US" w:eastAsia="zh-CN"/>
        </w:rPr>
        <w:t>22.83</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w:t>
      </w:r>
      <w:r>
        <w:rPr>
          <w:rFonts w:hint="eastAsia" w:eastAsia="仿宋_GB2312" w:cs="Times New Roman"/>
          <w:bCs/>
          <w:kern w:val="0"/>
          <w:sz w:val="32"/>
          <w:szCs w:val="32"/>
          <w:lang w:eastAsia="zh-CN"/>
        </w:rPr>
        <w:t>无</w:t>
      </w:r>
      <w:r>
        <w:rPr>
          <w:rFonts w:hint="default" w:ascii="Times New Roman" w:hAnsi="Times New Roman" w:eastAsia="仿宋_GB2312" w:cs="Times New Roman"/>
          <w:bCs/>
          <w:kern w:val="0"/>
          <w:sz w:val="32"/>
          <w:szCs w:val="32"/>
        </w:rPr>
        <w:t>因公出国（境）费支出</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公务用车购置及运行费支出；公务接待费支出减少的主要原因是</w:t>
      </w:r>
      <w:r>
        <w:rPr>
          <w:rFonts w:hint="eastAsia" w:eastAsia="仿宋_GB2312" w:cs="Times New Roman"/>
          <w:bCs/>
          <w:kern w:val="0"/>
          <w:sz w:val="32"/>
          <w:szCs w:val="32"/>
          <w:lang w:eastAsia="zh-CN"/>
        </w:rPr>
        <w:t>降低接待成本，减少不必要开支</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2020年度“三公”经费财政拨款支出决算中，因公出国（境）费支出决算</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%；公务用车购置及运行费 支出决算</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%；公务接待费支出决算</w:t>
      </w:r>
      <w:r>
        <w:rPr>
          <w:rFonts w:hint="eastAsia" w:eastAsia="仿宋_GB2312" w:cs="Times New Roman"/>
          <w:bCs/>
          <w:kern w:val="0"/>
          <w:sz w:val="32"/>
          <w:szCs w:val="32"/>
          <w:lang w:val="en-US" w:eastAsia="zh-CN"/>
        </w:rPr>
        <w:t>0.71</w:t>
      </w:r>
      <w:r>
        <w:rPr>
          <w:rFonts w:hint="default" w:ascii="Times New Roman" w:hAnsi="Times New Roman" w:eastAsia="仿宋_GB2312" w:cs="Times New Roman"/>
          <w:bCs/>
          <w:kern w:val="0"/>
          <w:sz w:val="32"/>
          <w:szCs w:val="32"/>
        </w:rPr>
        <w:t>万元，占</w:t>
      </w:r>
      <w:r>
        <w:rPr>
          <w:rFonts w:hint="eastAsia"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 xml:space="preserve">%。具体情况如下：  </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1.因公出国（境）费支出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万元。全年安排机关和所属单位因公出国 （境）团组</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个，累计</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eastAsia="仿宋_GB2312" w:cs="Times New Roman"/>
          <w:bCs/>
          <w:kern w:val="0"/>
          <w:sz w:val="32"/>
          <w:szCs w:val="32"/>
          <w:lang w:eastAsia="zh-CN"/>
        </w:rPr>
      </w:pPr>
      <w:r>
        <w:rPr>
          <w:rFonts w:hint="default" w:ascii="Times New Roman" w:hAnsi="Times New Roman" w:eastAsia="仿宋_GB2312" w:cs="Times New Roman"/>
          <w:bCs/>
          <w:kern w:val="0"/>
          <w:sz w:val="32"/>
          <w:szCs w:val="32"/>
        </w:rPr>
        <w:t>2.公务用车购置及运行费支出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万元。其中： 公务用车购置支出为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万元。公务用车运行支出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w:t>
      </w:r>
      <w:r>
        <w:rPr>
          <w:rFonts w:hint="eastAsia"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2020年，机关所属单位开支财政拨款的公务用车保有量为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3.公务接待费支出</w:t>
      </w:r>
      <w:r>
        <w:rPr>
          <w:rFonts w:hint="eastAsia" w:eastAsia="仿宋_GB2312" w:cs="Times New Roman"/>
          <w:bCs/>
          <w:kern w:val="0"/>
          <w:sz w:val="32"/>
          <w:szCs w:val="32"/>
          <w:lang w:val="en-US" w:eastAsia="zh-CN"/>
        </w:rPr>
        <w:t>0.71</w:t>
      </w:r>
      <w:r>
        <w:rPr>
          <w:rFonts w:hint="default" w:ascii="Times New Roman" w:hAnsi="Times New Roman" w:eastAsia="仿宋_GB2312" w:cs="Times New Roman"/>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外宾接待支出</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万元。2020 年共接待国（境）外来访团组</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个、来访外宾</w:t>
      </w:r>
      <w:r>
        <w:rPr>
          <w:rFonts w:hint="eastAsia"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 xml:space="preserve">人次。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国内公务接待支出</w:t>
      </w:r>
      <w:r>
        <w:rPr>
          <w:rFonts w:hint="eastAsia" w:eastAsia="仿宋_GB2312" w:cs="Times New Roman"/>
          <w:bCs/>
          <w:kern w:val="0"/>
          <w:sz w:val="32"/>
          <w:szCs w:val="32"/>
          <w:lang w:val="en-US" w:eastAsia="zh-CN"/>
        </w:rPr>
        <w:t>0.71</w:t>
      </w:r>
      <w:r>
        <w:rPr>
          <w:rFonts w:hint="default" w:ascii="Times New Roman" w:hAnsi="Times New Roman" w:eastAsia="仿宋_GB2312" w:cs="Times New Roman"/>
          <w:bCs/>
          <w:kern w:val="0"/>
          <w:sz w:val="32"/>
          <w:szCs w:val="32"/>
        </w:rPr>
        <w:t>万元。主要用于</w:t>
      </w:r>
      <w:r>
        <w:rPr>
          <w:rFonts w:hint="eastAsia" w:eastAsia="仿宋_GB2312" w:cs="Times New Roman"/>
          <w:bCs/>
          <w:kern w:val="0"/>
          <w:sz w:val="32"/>
          <w:szCs w:val="32"/>
          <w:lang w:eastAsia="zh-CN"/>
        </w:rPr>
        <w:t>接待自治区信访局到我市开展调研及案件督查督办工作</w:t>
      </w:r>
      <w:r>
        <w:rPr>
          <w:rFonts w:hint="default" w:ascii="Times New Roman" w:hAnsi="Times New Roman" w:eastAsia="仿宋_GB2312" w:cs="Times New Roman"/>
          <w:bCs/>
          <w:kern w:val="0"/>
          <w:sz w:val="32"/>
          <w:szCs w:val="32"/>
        </w:rPr>
        <w:t>。2020 年共接待国内来访团组</w:t>
      </w:r>
      <w:r>
        <w:rPr>
          <w:rFonts w:hint="eastAsia"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个、来宾</w:t>
      </w:r>
      <w:r>
        <w:rPr>
          <w:rFonts w:hint="eastAsia" w:eastAsia="仿宋_GB2312" w:cs="Times New Roman"/>
          <w:bCs/>
          <w:kern w:val="0"/>
          <w:sz w:val="32"/>
          <w:szCs w:val="32"/>
          <w:lang w:val="en-US" w:eastAsia="zh-CN"/>
        </w:rPr>
        <w:t>45</w:t>
      </w:r>
      <w:r>
        <w:rPr>
          <w:rFonts w:hint="default" w:ascii="Times New Roman" w:hAnsi="Times New Roman" w:eastAsia="仿宋_GB2312" w:cs="Times New Roman"/>
          <w:bCs/>
          <w:kern w:val="0"/>
          <w:sz w:val="32"/>
          <w:szCs w:val="32"/>
        </w:rPr>
        <w:t>人次</w:t>
      </w:r>
      <w:r>
        <w:rPr>
          <w:rFonts w:hint="eastAsia"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w:t>
      </w:r>
      <w:r>
        <w:rPr>
          <w:rFonts w:hint="default" w:ascii="Times New Roman" w:hAnsi="Times New Roman" w:eastAsia="仿宋_GB2312" w:cs="Times New Roman"/>
          <w:b/>
          <w:bCs w:val="0"/>
          <w:kern w:val="0"/>
          <w:sz w:val="32"/>
          <w:szCs w:val="32"/>
        </w:rPr>
        <w:t xml:space="preserve">  八、202</w:t>
      </w:r>
      <w:r>
        <w:rPr>
          <w:rFonts w:hint="default" w:ascii="Times New Roman" w:hAnsi="Times New Roman" w:eastAsia="仿宋_GB2312" w:cs="Times New Roman"/>
          <w:b/>
          <w:kern w:val="0"/>
          <w:sz w:val="32"/>
          <w:szCs w:val="32"/>
        </w:rPr>
        <w:t>0 年度政府性基金预算财政拨款收入支出决算情况说明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rPr>
        <w:t xml:space="preserve"> </w:t>
      </w:r>
      <w:r>
        <w:rPr>
          <w:rFonts w:hint="default" w:ascii="Times New Roman" w:hAnsi="Times New Roman" w:eastAsia="仿宋_GB2312" w:cs="Times New Roman"/>
          <w:bCs/>
          <w:kern w:val="0"/>
          <w:sz w:val="32"/>
          <w:szCs w:val="32"/>
          <w:highlight w:val="none"/>
        </w:rPr>
        <w:t xml:space="preserve">   本部门 2020年度政府基金预算财政拨款收、支总决算 </w:t>
      </w:r>
      <w:r>
        <w:rPr>
          <w:rFonts w:hint="eastAsia" w:eastAsia="仿宋_GB2312" w:cs="Times New Roman"/>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万元、</w:t>
      </w:r>
      <w:r>
        <w:rPr>
          <w:rFonts w:hint="eastAsia" w:eastAsia="仿宋_GB2312" w:cs="Times New Roman"/>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万元。与 2019 年相比，收、支总计各增加</w:t>
      </w:r>
      <w:r>
        <w:rPr>
          <w:rFonts w:hint="eastAsia" w:eastAsia="仿宋_GB2312" w:cs="Times New Roman"/>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万元，增长</w:t>
      </w:r>
      <w:r>
        <w:rPr>
          <w:rFonts w:hint="eastAsia" w:eastAsia="仿宋_GB2312" w:cs="Times New Roman"/>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lang w:eastAsia="zh-CN"/>
        </w:rPr>
        <w:t>国有资本经营预算财政拨款支出情况说明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2020年度国有资本经营预算财政拨款本年支出</w:t>
      </w:r>
      <w:r>
        <w:rPr>
          <w:rFonts w:hint="eastAsia" w:eastAsia="仿宋_GB2312" w:cs="Times New Roman"/>
          <w:b w:val="0"/>
          <w:bCs/>
          <w:kern w:val="0"/>
          <w:sz w:val="32"/>
          <w:szCs w:val="32"/>
          <w:highlight w:val="none"/>
          <w:lang w:val="en-US" w:eastAsia="zh-CN"/>
        </w:rPr>
        <w:t>0</w:t>
      </w:r>
      <w:r>
        <w:rPr>
          <w:rFonts w:hint="default" w:ascii="Times New Roman" w:hAnsi="Times New Roman" w:eastAsia="仿宋_GB2312" w:cs="Times New Roman"/>
          <w:b w:val="0"/>
          <w:bCs/>
          <w:kern w:val="0"/>
          <w:sz w:val="32"/>
          <w:szCs w:val="32"/>
          <w:highlight w:val="none"/>
          <w:lang w:val="en-US" w:eastAsia="zh-CN"/>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eastAsia="zh-CN"/>
        </w:rPr>
        <w:t>十、</w:t>
      </w:r>
      <w:r>
        <w:rPr>
          <w:rFonts w:hint="default" w:ascii="Times New Roman" w:hAnsi="Times New Roman" w:eastAsia="仿宋_GB2312" w:cs="Times New Roman"/>
          <w:b/>
          <w:kern w:val="0"/>
          <w:sz w:val="32"/>
          <w:szCs w:val="32"/>
        </w:rPr>
        <w:t>2020 年度预算绩效情况说明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根据财政预算管理要求，我部门组织对2020年度一般公共预算项目支出全面开展绩效自评。</w:t>
      </w:r>
      <w:r>
        <w:rPr>
          <w:rFonts w:hint="eastAsia" w:eastAsia="仿宋_GB2312" w:cs="Times New Roman"/>
          <w:bCs/>
          <w:kern w:val="0"/>
          <w:sz w:val="32"/>
          <w:szCs w:val="32"/>
          <w:lang w:eastAsia="zh-CN"/>
        </w:rPr>
        <w:t>主管行政单位及二层事业单位均为整体支出绩效</w:t>
      </w:r>
      <w:r>
        <w:rPr>
          <w:rFonts w:hint="default" w:ascii="Times New Roman" w:hAnsi="Times New Roman" w:eastAsia="仿宋_GB2312" w:cs="Times New Roman"/>
          <w:bCs/>
          <w:kern w:val="0"/>
          <w:sz w:val="32"/>
          <w:szCs w:val="32"/>
        </w:rPr>
        <w:t>，共涉及预算资金</w:t>
      </w:r>
      <w:r>
        <w:rPr>
          <w:rFonts w:hint="eastAsia" w:eastAsia="仿宋_GB2312" w:cs="Times New Roman"/>
          <w:bCs/>
          <w:kern w:val="0"/>
          <w:sz w:val="32"/>
          <w:szCs w:val="32"/>
          <w:lang w:val="en-US" w:eastAsia="zh-CN"/>
        </w:rPr>
        <w:t>494.17</w:t>
      </w:r>
      <w:r>
        <w:rPr>
          <w:rFonts w:hint="default" w:ascii="Times New Roman" w:hAnsi="Times New Roman" w:eastAsia="仿宋_GB2312" w:cs="Times New Roman"/>
          <w:bCs/>
          <w:kern w:val="0"/>
          <w:sz w:val="32"/>
          <w:szCs w:val="32"/>
        </w:rPr>
        <w:t>万元，自评覆盖率达到</w:t>
      </w:r>
      <w:r>
        <w:rPr>
          <w:rFonts w:hint="eastAsia" w:eastAsia="仿宋_GB2312" w:cs="Times New Roman"/>
          <w:bCs/>
          <w:kern w:val="0"/>
          <w:sz w:val="32"/>
          <w:szCs w:val="32"/>
          <w:lang w:val="en-US" w:eastAsia="zh-CN"/>
        </w:rPr>
        <w:t>83.15</w:t>
      </w:r>
      <w:r>
        <w:rPr>
          <w:rFonts w:hint="default" w:ascii="Times New Roman" w:hAnsi="Times New Roman" w:eastAsia="仿宋_GB2312" w:cs="Times New Roman"/>
          <w:bCs/>
          <w:kern w:val="0"/>
          <w:sz w:val="32"/>
          <w:szCs w:val="32"/>
        </w:rPr>
        <w:t xml:space="preserve">%） </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部门决算中项目绩效自评结果。</w:t>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left"/>
        <w:textAlignment w:val="auto"/>
        <w:rPr>
          <w:rFonts w:hint="eastAsia" w:ascii="Times New Roman" w:hAnsi="Times New Roman" w:eastAsia="仿宋_GB2312" w:cs="Times New Roman"/>
          <w:bCs/>
          <w:kern w:val="0"/>
          <w:sz w:val="32"/>
          <w:szCs w:val="32"/>
          <w:lang w:eastAsia="zh-CN"/>
        </w:rPr>
      </w:pPr>
      <w:r>
        <w:rPr>
          <w:rFonts w:hint="eastAsia" w:eastAsia="仿宋_GB2312" w:cs="Times New Roman"/>
          <w:bCs/>
          <w:kern w:val="0"/>
          <w:sz w:val="32"/>
          <w:szCs w:val="32"/>
          <w:lang w:eastAsia="zh-CN"/>
        </w:rPr>
        <w:t>我部门无项目绩效。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十</w:t>
      </w:r>
      <w:r>
        <w:rPr>
          <w:rFonts w:hint="default" w:ascii="Times New Roman" w:hAnsi="Times New Roman" w:eastAsia="仿宋_GB2312" w:cs="Times New Roman"/>
          <w:b/>
          <w:kern w:val="0"/>
          <w:sz w:val="32"/>
          <w:szCs w:val="32"/>
          <w:lang w:eastAsia="zh-CN"/>
        </w:rPr>
        <w:t>一</w:t>
      </w:r>
      <w:r>
        <w:rPr>
          <w:rFonts w:hint="default" w:ascii="Times New Roman" w:hAnsi="Times New Roman" w:eastAsia="仿宋_GB2312" w:cs="Times New Roman"/>
          <w:b/>
          <w:kern w:val="0"/>
          <w:sz w:val="32"/>
          <w:szCs w:val="32"/>
        </w:rPr>
        <w:t>、其他重要事项的情况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（一）机关运行经费支出情况。2020年度部门机关运行经费支出</w:t>
      </w:r>
      <w:r>
        <w:rPr>
          <w:rFonts w:hint="eastAsia" w:eastAsia="仿宋_GB2312" w:cs="Times New Roman"/>
          <w:kern w:val="0"/>
          <w:sz w:val="32"/>
          <w:szCs w:val="32"/>
          <w:lang w:val="en-US" w:eastAsia="zh-CN"/>
        </w:rPr>
        <w:t>30.32</w:t>
      </w:r>
      <w:r>
        <w:rPr>
          <w:rFonts w:hint="default" w:ascii="Times New Roman" w:hAnsi="Times New Roman" w:eastAsia="仿宋_GB2312" w:cs="Times New Roman"/>
          <w:kern w:val="0"/>
          <w:sz w:val="32"/>
          <w:szCs w:val="32"/>
        </w:rPr>
        <w:t>万元，比 2019年增加</w:t>
      </w:r>
      <w:r>
        <w:rPr>
          <w:rFonts w:hint="eastAsia" w:eastAsia="仿宋_GB2312" w:cs="Times New Roman"/>
          <w:kern w:val="0"/>
          <w:sz w:val="32"/>
          <w:szCs w:val="32"/>
          <w:lang w:val="en-US" w:eastAsia="zh-CN"/>
        </w:rPr>
        <w:t>4.17</w:t>
      </w:r>
      <w:r>
        <w:rPr>
          <w:rFonts w:hint="default" w:ascii="Times New Roman" w:hAnsi="Times New Roman" w:eastAsia="仿宋_GB2312" w:cs="Times New Roman"/>
          <w:kern w:val="0"/>
          <w:sz w:val="32"/>
          <w:szCs w:val="32"/>
        </w:rPr>
        <w:t>万元，增长</w:t>
      </w:r>
      <w:r>
        <w:rPr>
          <w:rFonts w:hint="eastAsia" w:eastAsia="仿宋_GB2312" w:cs="Times New Roman"/>
          <w:kern w:val="0"/>
          <w:sz w:val="32"/>
          <w:szCs w:val="32"/>
          <w:lang w:val="en-US" w:eastAsia="zh-CN"/>
        </w:rPr>
        <w:t>15.95</w:t>
      </w:r>
      <w:r>
        <w:rPr>
          <w:rFonts w:hint="default" w:ascii="Times New Roman" w:hAnsi="Times New Roman" w:eastAsia="仿宋_GB2312" w:cs="Times New Roman"/>
          <w:kern w:val="0"/>
          <w:sz w:val="32"/>
          <w:szCs w:val="32"/>
        </w:rPr>
        <w:t>%，增（减）原因</w:t>
      </w:r>
      <w:r>
        <w:rPr>
          <w:rFonts w:hint="eastAsia" w:eastAsia="仿宋_GB2312" w:cs="Times New Roman"/>
          <w:kern w:val="0"/>
          <w:sz w:val="32"/>
          <w:szCs w:val="32"/>
          <w:lang w:val="en-US" w:eastAsia="zh-CN"/>
        </w:rPr>
        <w:t>2020年本部门预算新增在编人员5名</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（二）政府采购支出情况。2020年度部门政府采购支出总额</w:t>
      </w:r>
      <w:r>
        <w:rPr>
          <w:rFonts w:hint="eastAsia" w:eastAsia="仿宋_GB2312" w:cs="Times New Roman"/>
          <w:kern w:val="0"/>
          <w:sz w:val="32"/>
          <w:szCs w:val="32"/>
          <w:lang w:val="en-US" w:eastAsia="zh-CN"/>
        </w:rPr>
        <w:t>13.62</w:t>
      </w:r>
      <w:r>
        <w:rPr>
          <w:rFonts w:hint="default" w:ascii="Times New Roman" w:hAnsi="Times New Roman" w:eastAsia="仿宋_GB2312" w:cs="Times New Roman"/>
          <w:kern w:val="0"/>
          <w:sz w:val="32"/>
          <w:szCs w:val="32"/>
        </w:rPr>
        <w:t>万元，其中：货物支出</w:t>
      </w:r>
      <w:r>
        <w:rPr>
          <w:rFonts w:hint="eastAsia" w:eastAsia="仿宋_GB2312" w:cs="Times New Roman"/>
          <w:kern w:val="0"/>
          <w:sz w:val="32"/>
          <w:szCs w:val="32"/>
          <w:lang w:val="en-US" w:eastAsia="zh-CN"/>
        </w:rPr>
        <w:t>13.62</w:t>
      </w:r>
      <w:r>
        <w:rPr>
          <w:rFonts w:hint="default" w:ascii="Times New Roman" w:hAnsi="Times New Roman" w:eastAsia="仿宋_GB2312" w:cs="Times New Roman"/>
          <w:kern w:val="0"/>
          <w:sz w:val="32"/>
          <w:szCs w:val="32"/>
        </w:rPr>
        <w:t>万元、工程支出</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万元、服务支出</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（三）国有资产占用情况。截至年末部门共有车辆</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辆，其中：公务用车</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辆；执法执勤用车</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辆；专业技术用车</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辆；单价50万元 以上通用设备</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 万元以上专用设备</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台（套）。 </w:t>
      </w:r>
    </w:p>
    <w:p>
      <w:pPr>
        <w:keepNext w:val="0"/>
        <w:keepLines w:val="0"/>
        <w:pageBreakBefore w:val="0"/>
        <w:widowControl w:val="0"/>
        <w:kinsoku/>
        <w:wordWrap/>
        <w:overflowPunct/>
        <w:topLinePunct w:val="0"/>
        <w:bidi w:val="0"/>
        <w:snapToGrid/>
        <w:spacing w:line="560" w:lineRule="exact"/>
        <w:ind w:firstLine="645"/>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第四部分：名词解释</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财政拨款收入：指市本级财政当年拨付的资金。</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事业收入：指事业单位开展专业活动用辅助活动所取得的收入。</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经营收入：指事业单位在专业业务活动及辅助活动之外开展非独立核算经营活动取得的收入。</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其他收入：指除上述“财政拨款收入”、“事业收入”、“经营收入”等以外的收入。</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使用非财政拨款结余</w:t>
      </w:r>
      <w:r>
        <w:rPr>
          <w:rFonts w:hint="default" w:ascii="Times New Roman" w:hAnsi="Times New Roman" w:eastAsia="仿宋_GB2312" w:cs="Times New Roman"/>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年初结转和结余：指以前年度尚未完成、结转到本年按规定继续使用的资金。</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结余分配：指事业单位按规定提取的职工福利基金、事业基金和缴纳的所得税，以及建设单位按规定应交回的基本建设竣工项目结余资金。</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基本支出：指为保障机构正常运转、完成日常工作任务而发生的人员支出和公用支出。</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项目支出：指在基本支出之外为完成特定行政任务和事业发展目标所发生的支出。</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经营支出：指事业单位在专业业务活动及其辅助活动之外开展非独立核算经营活动发生的支出。</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3"/>
        </w:numPr>
        <w:kinsoku/>
        <w:wordWrap/>
        <w:overflowPunct/>
        <w:topLinePunct w:val="0"/>
        <w:bidi w:val="0"/>
        <w:snapToGrid/>
        <w:spacing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rPr>
          <w:rFonts w:hint="default" w:ascii="Times New Roman" w:hAnsi="Times New Roman" w:cs="Times New Roman"/>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AdLib WGL4 BT">
    <w:panose1 w:val="04040805040B02020603"/>
    <w:charset w:val="00"/>
    <w:family w:val="auto"/>
    <w:pitch w:val="default"/>
    <w:sig w:usb0="00000287" w:usb1="00000000" w:usb2="00000000" w:usb3="00000000" w:csb0="4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480"/>
                            <w:jc w:val="cente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ind w:firstLine="480"/>
                      <w:jc w:val="cente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txbxContent>
              </v:textbox>
            </v:shape>
          </w:pict>
        </mc:Fallback>
      </mc:AlternateConten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9042C7C"/>
    <w:rsid w:val="09685D77"/>
    <w:rsid w:val="0AEB5C29"/>
    <w:rsid w:val="0E074DDF"/>
    <w:rsid w:val="124204B5"/>
    <w:rsid w:val="124D1CEA"/>
    <w:rsid w:val="13644C1B"/>
    <w:rsid w:val="13E32925"/>
    <w:rsid w:val="15080ABC"/>
    <w:rsid w:val="182962AB"/>
    <w:rsid w:val="1877697F"/>
    <w:rsid w:val="19D073EB"/>
    <w:rsid w:val="1BDF4099"/>
    <w:rsid w:val="1CC31F67"/>
    <w:rsid w:val="247D69A5"/>
    <w:rsid w:val="24D337DC"/>
    <w:rsid w:val="26460DBA"/>
    <w:rsid w:val="2B6F74EB"/>
    <w:rsid w:val="2C4219FE"/>
    <w:rsid w:val="2EAB72F9"/>
    <w:rsid w:val="2FCE081E"/>
    <w:rsid w:val="30B17245"/>
    <w:rsid w:val="30BC13C2"/>
    <w:rsid w:val="34020F86"/>
    <w:rsid w:val="356927DE"/>
    <w:rsid w:val="38F44705"/>
    <w:rsid w:val="39A63F06"/>
    <w:rsid w:val="39F86E06"/>
    <w:rsid w:val="3D782167"/>
    <w:rsid w:val="3ED1439F"/>
    <w:rsid w:val="48374EDC"/>
    <w:rsid w:val="4C256E3D"/>
    <w:rsid w:val="4CB52F0F"/>
    <w:rsid w:val="5017715C"/>
    <w:rsid w:val="524F4D56"/>
    <w:rsid w:val="532F1F9A"/>
    <w:rsid w:val="578F5937"/>
    <w:rsid w:val="5C3A2D91"/>
    <w:rsid w:val="5D2C3F78"/>
    <w:rsid w:val="5E995A3E"/>
    <w:rsid w:val="5EBB5129"/>
    <w:rsid w:val="5FB20159"/>
    <w:rsid w:val="62163194"/>
    <w:rsid w:val="624D024D"/>
    <w:rsid w:val="649D5D8A"/>
    <w:rsid w:val="64E27E7B"/>
    <w:rsid w:val="650E086A"/>
    <w:rsid w:val="66CE06D4"/>
    <w:rsid w:val="6BAA0708"/>
    <w:rsid w:val="6BCC1EBF"/>
    <w:rsid w:val="6FAE43D8"/>
    <w:rsid w:val="75C359FA"/>
    <w:rsid w:val="77686CE7"/>
    <w:rsid w:val="79184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8</TotalTime>
  <ScaleCrop>false</ScaleCrop>
  <LinksUpToDate>false</LinksUpToDate>
  <CharactersWithSpaces>8540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lenovo</cp:lastModifiedBy>
  <cp:lastPrinted>2021-07-19T08:28:18Z</cp:lastPrinted>
  <dcterms:modified xsi:type="dcterms:W3CDTF">2021-07-19T08:31:23Z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98EE652084264FDC9545472B30953730</vt:lpwstr>
  </property>
</Properties>
</file>