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hAnsi="方正小标宋简体" w:eastAsia="方正小标宋简体" w:cs="方正小标宋简体"/>
          <w:bCs/>
          <w:color w:val="000000"/>
          <w:sz w:val="52"/>
          <w:szCs w:val="52"/>
          <w:lang w:val="en-US" w:eastAsia="zh-CN"/>
        </w:rPr>
      </w:pPr>
      <w:r>
        <w:rPr>
          <w:rFonts w:hint="eastAsia" w:ascii="方正小标宋简体" w:hAnsi="方正小标宋简体" w:eastAsia="方正小标宋简体" w:cs="方正小标宋简体"/>
          <w:kern w:val="0"/>
          <w:sz w:val="52"/>
          <w:szCs w:val="52"/>
          <w:lang w:eastAsia="zh-CN"/>
        </w:rPr>
        <w:t>中共柳州市委市政府信访局</w:t>
      </w:r>
    </w:p>
    <w:p>
      <w:pPr>
        <w:jc w:val="center"/>
        <w:rPr>
          <w:rFonts w:hint="default" w:ascii="方正小标宋简体" w:hAnsi="方正小标宋简体" w:eastAsia="方正小标宋简体" w:cs="方正小标宋简体"/>
          <w:kern w:val="0"/>
          <w:sz w:val="52"/>
          <w:szCs w:val="52"/>
          <w:lang w:val="en-US" w:eastAsia="zh-CN"/>
        </w:rPr>
      </w:pPr>
      <w:r>
        <w:rPr>
          <w:rFonts w:hint="eastAsia" w:ascii="方正小标宋简体" w:hAnsi="方正小标宋简体" w:eastAsia="方正小标宋简体" w:cs="方正小标宋简体"/>
          <w:kern w:val="0"/>
          <w:sz w:val="52"/>
          <w:szCs w:val="52"/>
          <w:lang w:val="en-US" w:eastAsia="zh-CN"/>
        </w:rPr>
        <w:t>2019</w:t>
      </w:r>
      <w:r>
        <w:rPr>
          <w:rFonts w:hint="eastAsia" w:ascii="方正小标宋简体" w:hAnsi="方正小标宋简体" w:eastAsia="方正小标宋简体" w:cs="方正小标宋简体"/>
          <w:kern w:val="0"/>
          <w:sz w:val="52"/>
          <w:szCs w:val="52"/>
        </w:rPr>
        <w:t>年</w:t>
      </w:r>
      <w:r>
        <w:rPr>
          <w:rFonts w:hint="eastAsia" w:ascii="方正小标宋简体" w:hAnsi="方正小标宋简体" w:eastAsia="方正小标宋简体" w:cs="方正小标宋简体"/>
          <w:kern w:val="0"/>
          <w:sz w:val="52"/>
          <w:szCs w:val="52"/>
          <w:lang w:eastAsia="zh-CN"/>
        </w:rPr>
        <w:t>度</w:t>
      </w:r>
      <w:r>
        <w:rPr>
          <w:rFonts w:hint="eastAsia" w:ascii="方正小标宋简体" w:hAnsi="方正小标宋简体" w:eastAsia="方正小标宋简体" w:cs="方正小标宋简体"/>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u w:val="none"/>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柳州市信访局201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u w:val="none"/>
          <w:lang w:eastAsia="zh-CN"/>
        </w:rPr>
        <w:t>201</w:t>
      </w:r>
      <w:r>
        <w:rPr>
          <w:rFonts w:hint="eastAsia" w:ascii="仿宋_GB2312" w:eastAsia="仿宋_GB2312"/>
          <w:b/>
          <w:sz w:val="32"/>
          <w:szCs w:val="32"/>
          <w:u w:val="none"/>
          <w:lang w:val="en-US" w:eastAsia="zh-CN"/>
        </w:rPr>
        <w:t>9</w:t>
      </w:r>
      <w:r>
        <w:rPr>
          <w:rFonts w:hint="eastAsia" w:ascii="仿宋_GB2312" w:eastAsia="仿宋_GB2312"/>
          <w:b/>
          <w:sz w:val="32"/>
          <w:szCs w:val="32"/>
          <w:u w:val="none"/>
        </w:rPr>
        <w:t>年</w:t>
      </w:r>
      <w:r>
        <w:rPr>
          <w:rFonts w:hint="eastAsia" w:ascii="仿宋_GB2312" w:eastAsia="仿宋_GB2312"/>
          <w:b/>
          <w:sz w:val="32"/>
          <w:szCs w:val="32"/>
        </w:rPr>
        <w:t>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u w:val="none"/>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u w:val="none"/>
        </w:rPr>
        <w:t>概况</w:t>
      </w:r>
    </w:p>
    <w:p>
      <w:pPr>
        <w:ind w:firstLine="646"/>
      </w:pPr>
      <w:r>
        <w:rPr>
          <w:rFonts w:hint="eastAsia" w:ascii="仿宋_GB2312" w:eastAsia="仿宋_GB2312"/>
          <w:sz w:val="32"/>
          <w:szCs w:val="32"/>
        </w:rPr>
        <w:t>一、主要职能</w:t>
      </w:r>
      <w:r>
        <w:rPr>
          <w:rFonts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1、负责处理群众向市委、市政府及领导同志的来信来电及来访反映的信访事项。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2、负责收集群众来信来电来访中提出的重要建议、意见和问题，向市委、市政府提供社情民意，综合研判，开展调查研究，提出完善有关政策、法律法规和解决信访问题的意见和建议。</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3、负责督办重要信访案件，承办上级部门向市委、市政府转送、交办和市委、市政府领导同志批示交办的重要信访事项，负责向县区和市直部门交办、转办、移送信访事项。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4、负责办理群众向市政府提出信访事项复查复核的相关工作。指导复杂疑难信访事项的听证评议工作。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5、协调、检查、指导全市信访工作，组织信访干部教育培训工作。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6、负责协调全市信访工作的宣传和信息发布。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7、承办市委、市政府交办的其他事项。 </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1、中共柳州市委员会柳州市人民政府信访局</w:t>
      </w:r>
    </w:p>
    <w:p>
      <w:pPr>
        <w:ind w:firstLine="640"/>
      </w:pPr>
      <w:r>
        <w:rPr>
          <w:rFonts w:hint="eastAsia" w:ascii="仿宋_GB2312" w:eastAsia="仿宋_GB2312"/>
          <w:sz w:val="32"/>
          <w:szCs w:val="32"/>
          <w:lang w:val="en-US" w:eastAsia="zh-CN"/>
        </w:rPr>
        <w:t>2、柳州市信访信息中心</w:t>
      </w:r>
    </w:p>
    <w:p>
      <w:pPr>
        <w:ind w:firstLine="0"/>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柳州市信访局</w:t>
      </w:r>
      <w:r>
        <w:rPr>
          <w:rFonts w:hint="eastAsia" w:ascii="仿宋_GB2312" w:eastAsia="仿宋_GB2312"/>
          <w:b/>
          <w:sz w:val="32"/>
          <w:szCs w:val="32"/>
          <w:u w:val="none"/>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firstLine="640" w:firstLineChars="200"/>
        <w:rPr>
          <w:rFonts w:hint="eastAsia"/>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bl>
      <w:tblPr>
        <w:tblStyle w:val="4"/>
        <w:tblW w:w="8720" w:type="dxa"/>
        <w:tblInd w:w="0" w:type="dxa"/>
        <w:tblLayout w:type="fixed"/>
        <w:tblCellMar>
          <w:top w:w="0" w:type="dxa"/>
          <w:left w:w="108" w:type="dxa"/>
          <w:bottom w:w="0" w:type="dxa"/>
          <w:right w:w="108" w:type="dxa"/>
        </w:tblCellMar>
      </w:tblPr>
      <w:tblGrid>
        <w:gridCol w:w="3458"/>
        <w:gridCol w:w="993"/>
        <w:gridCol w:w="3285"/>
        <w:gridCol w:w="919"/>
        <w:gridCol w:w="65"/>
      </w:tblGrid>
      <w:tr>
        <w:tblPrEx>
          <w:tblCellMar>
            <w:top w:w="0" w:type="dxa"/>
            <w:left w:w="108" w:type="dxa"/>
            <w:bottom w:w="0" w:type="dxa"/>
            <w:right w:w="108" w:type="dxa"/>
          </w:tblCellMar>
        </w:tblPrEx>
        <w:trPr>
          <w:gridAfter w:val="1"/>
          <w:wAfter w:w="65" w:type="dxa"/>
          <w:trHeight w:val="570" w:hRule="atLeast"/>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trPr>
        <w:tc>
          <w:tcPr>
            <w:tcW w:w="4451"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26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trPr>
        <w:tc>
          <w:tcPr>
            <w:tcW w:w="345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2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54"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一般公共预算财政拨款收入</w:t>
            </w:r>
          </w:p>
        </w:tc>
        <w:tc>
          <w:tcPr>
            <w:tcW w:w="993"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168.78</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156.71</w:t>
            </w:r>
          </w:p>
        </w:tc>
      </w:tr>
      <w:tr>
        <w:tblPrEx>
          <w:tblCellMar>
            <w:top w:w="0" w:type="dxa"/>
            <w:left w:w="108" w:type="dxa"/>
            <w:bottom w:w="0" w:type="dxa"/>
            <w:right w:w="108" w:type="dxa"/>
          </w:tblCellMar>
        </w:tblPrEx>
        <w:trPr>
          <w:trHeight w:val="384"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9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9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事业</w:t>
            </w:r>
            <w:r>
              <w:rPr>
                <w:rFonts w:hint="eastAsia" w:ascii="宋体" w:hAnsi="宋体" w:cs="宋体"/>
                <w:color w:val="000000"/>
                <w:kern w:val="0"/>
                <w:sz w:val="22"/>
                <w:szCs w:val="22"/>
              </w:rPr>
              <w:t>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9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经营</w:t>
            </w:r>
            <w:r>
              <w:rPr>
                <w:rFonts w:hint="eastAsia" w:ascii="宋体" w:hAnsi="宋体" w:cs="宋体"/>
                <w:color w:val="000000"/>
                <w:kern w:val="0"/>
                <w:sz w:val="22"/>
                <w:szCs w:val="22"/>
              </w:rPr>
              <w:t>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9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六、附属单位上缴收入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984"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七、文化旅游体育与传媒支出</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9.39</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3.57</w:t>
            </w: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十四、资源勘探信息等支出</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b/>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十六、金融支出</w:t>
            </w:r>
          </w:p>
        </w:tc>
        <w:tc>
          <w:tcPr>
            <w:tcW w:w="984"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十七、援助其他地区支出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10.39</w:t>
            </w: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二十、粮油物资储备支出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r>
      <w:tr>
        <w:tblPrEx>
          <w:tblCellMar>
            <w:top w:w="0" w:type="dxa"/>
            <w:left w:w="108" w:type="dxa"/>
            <w:bottom w:w="0" w:type="dxa"/>
            <w:right w:w="108" w:type="dxa"/>
          </w:tblCellMar>
        </w:tblPrEx>
        <w:trPr>
          <w:trHeight w:val="494"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二十二、其他支出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二十三、债务还本支出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lang w:val="en-US" w:eastAsia="zh-CN" w:bidi="ar-SA"/>
              </w:rPr>
            </w:pPr>
          </w:p>
        </w:tc>
      </w:tr>
      <w:tr>
        <w:tblPrEx>
          <w:tblCellMar>
            <w:top w:w="0" w:type="dxa"/>
            <w:left w:w="108" w:type="dxa"/>
            <w:bottom w:w="0" w:type="dxa"/>
            <w:right w:w="108" w:type="dxa"/>
          </w:tblCellMar>
        </w:tblPrEx>
        <w:trPr>
          <w:trHeight w:val="297"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二十四、债务付息支出</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color w:val="000000"/>
                <w:kern w:val="0"/>
                <w:sz w:val="22"/>
                <w:szCs w:val="22"/>
              </w:rPr>
            </w:pPr>
          </w:p>
        </w:tc>
      </w:tr>
      <w:tr>
        <w:tblPrEx>
          <w:tblCellMar>
            <w:top w:w="0" w:type="dxa"/>
            <w:left w:w="108" w:type="dxa"/>
            <w:bottom w:w="0" w:type="dxa"/>
            <w:right w:w="108" w:type="dxa"/>
          </w:tblCellMar>
        </w:tblPrEx>
        <w:trPr>
          <w:trHeight w:val="197"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color w:val="000000"/>
                <w:kern w:val="0"/>
                <w:sz w:val="22"/>
                <w:szCs w:val="22"/>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本年收入合计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lang w:val="en-US" w:eastAsia="zh-CN" w:bidi="ar-SA"/>
              </w:rPr>
              <w:t>168.78</w:t>
            </w: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本年支出合计</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180.06 </w:t>
            </w: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　用事业基金弥补收支差额</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结余分配</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　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w:t>
            </w:r>
            <w:r>
              <w:rPr>
                <w:rFonts w:hint="eastAsia" w:ascii="宋体" w:hAnsi="宋体" w:cs="宋体"/>
                <w:color w:val="000000"/>
                <w:kern w:val="0"/>
                <w:sz w:val="22"/>
                <w:szCs w:val="22"/>
                <w:lang w:eastAsia="zh-CN"/>
              </w:rPr>
              <w:t>和结余</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20.46</w:t>
            </w: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年末结转与结余</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9.18 </w:t>
            </w: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22"/>
                <w:szCs w:val="22"/>
                <w:lang w:val="en-US" w:eastAsia="zh-CN" w:bidi="ar-SA"/>
              </w:rPr>
            </w:pP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272" w:hRule="atLeast"/>
        </w:trPr>
        <w:tc>
          <w:tcPr>
            <w:tcW w:w="34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收入总计</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189.23</w:t>
            </w:r>
          </w:p>
        </w:tc>
        <w:tc>
          <w:tcPr>
            <w:tcW w:w="32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szCs w:val="22"/>
              </w:rPr>
              <w:t>支出总计</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189.23 </w:t>
            </w:r>
          </w:p>
        </w:tc>
      </w:tr>
    </w:tbl>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14140" w:type="dxa"/>
        <w:jc w:val="center"/>
        <w:tblLayout w:type="fixed"/>
        <w:tblCellMar>
          <w:top w:w="0" w:type="dxa"/>
          <w:left w:w="108" w:type="dxa"/>
          <w:bottom w:w="0" w:type="dxa"/>
          <w:right w:w="108" w:type="dxa"/>
        </w:tblCellMar>
      </w:tblPr>
      <w:tblGrid>
        <w:gridCol w:w="1408"/>
        <w:gridCol w:w="3900"/>
        <w:gridCol w:w="1800"/>
        <w:gridCol w:w="1305"/>
        <w:gridCol w:w="1215"/>
        <w:gridCol w:w="762"/>
        <w:gridCol w:w="1250"/>
        <w:gridCol w:w="1250"/>
        <w:gridCol w:w="1250"/>
      </w:tblGrid>
      <w:tr>
        <w:tblPrEx>
          <w:tblCellMar>
            <w:top w:w="0" w:type="dxa"/>
            <w:left w:w="108" w:type="dxa"/>
            <w:bottom w:w="0" w:type="dxa"/>
            <w:right w:w="108" w:type="dxa"/>
          </w:tblCellMar>
        </w:tblPrEx>
        <w:trPr>
          <w:trHeight w:val="289" w:hRule="atLeast"/>
          <w:jc w:val="center"/>
        </w:trPr>
        <w:tc>
          <w:tcPr>
            <w:tcW w:w="5308"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项目</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390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530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8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3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1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76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5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25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2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9" w:hRule="atLeast"/>
          <w:jc w:val="center"/>
        </w:trPr>
        <w:tc>
          <w:tcPr>
            <w:tcW w:w="530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168.78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168.78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137.96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137.96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2013101</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其他共产党事务支出</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129.25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129.25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2013601</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73.73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73.73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2013602</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52.73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52.73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2013650</w:t>
            </w:r>
          </w:p>
        </w:tc>
        <w:tc>
          <w:tcPr>
            <w:tcW w:w="39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18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2.79 </w:t>
            </w:r>
          </w:p>
        </w:tc>
        <w:tc>
          <w:tcPr>
            <w:tcW w:w="13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2.79 </w:t>
            </w:r>
          </w:p>
        </w:tc>
        <w:tc>
          <w:tcPr>
            <w:tcW w:w="121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20137</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网信事务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1.83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1.83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2013750</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1.83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1.83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11.74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11.74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11.74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11.74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4.34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4.34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w:t>
            </w:r>
            <w:r>
              <w:rPr>
                <w:rFonts w:hint="eastAsia" w:ascii="宋体" w:hAnsi="宋体" w:cs="宋体"/>
                <w:i w:val="0"/>
                <w:color w:val="000000"/>
                <w:kern w:val="0"/>
                <w:sz w:val="22"/>
                <w:szCs w:val="22"/>
                <w:u w:val="none"/>
                <w:lang w:val="en-US" w:eastAsia="zh-CN" w:bidi="ar"/>
              </w:rPr>
              <w:t>支</w:t>
            </w:r>
            <w:r>
              <w:rPr>
                <w:rFonts w:hint="eastAsia" w:ascii="宋体" w:hAnsi="宋体" w:eastAsia="宋体" w:cs="宋体"/>
                <w:i w:val="0"/>
                <w:color w:val="000000"/>
                <w:kern w:val="0"/>
                <w:sz w:val="22"/>
                <w:szCs w:val="22"/>
                <w:u w:val="none"/>
                <w:lang w:val="en-US" w:eastAsia="zh-CN" w:bidi="ar"/>
              </w:rPr>
              <w:t>出</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7.40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7.40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8.69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8.69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5.00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5.00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2100409</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重大公共卫生专项</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5.00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5.00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3.69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3.69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3.56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3.56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事业单位医疗</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0.13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0.13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2101103</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0.00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0.00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10.39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10.39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10.39 </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10.39 </w:t>
            </w:r>
          </w:p>
        </w:tc>
        <w:tc>
          <w:tcPr>
            <w:tcW w:w="121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6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lang w:eastAsia="zh-CN"/>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r>
        <w:rPr>
          <w:rFonts w:hint="eastAsia"/>
          <w:lang w:eastAsia="zh-CN"/>
        </w:rPr>
        <w:t>注：本表反映部门本年度取得的各项收入情况。</w:t>
      </w:r>
    </w:p>
    <w:p>
      <w:pPr>
        <w:rPr>
          <w:rFonts w:hint="eastAsia"/>
          <w:lang w:eastAsia="zh-CN"/>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363"/>
        <w:gridCol w:w="3975"/>
        <w:gridCol w:w="2355"/>
        <w:gridCol w:w="1635"/>
        <w:gridCol w:w="1715"/>
        <w:gridCol w:w="1002"/>
        <w:gridCol w:w="1002"/>
        <w:gridCol w:w="1002"/>
      </w:tblGrid>
      <w:tr>
        <w:tblPrEx>
          <w:tblCellMar>
            <w:top w:w="0" w:type="dxa"/>
            <w:left w:w="108" w:type="dxa"/>
            <w:bottom w:w="0" w:type="dxa"/>
            <w:right w:w="108" w:type="dxa"/>
          </w:tblCellMar>
        </w:tblPrEx>
        <w:trPr>
          <w:trHeight w:val="289" w:hRule="atLeast"/>
          <w:jc w:val="center"/>
        </w:trPr>
        <w:tc>
          <w:tcPr>
            <w:tcW w:w="53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23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397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2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9" w:hRule="atLeast"/>
          <w:jc w:val="center"/>
        </w:trPr>
        <w:tc>
          <w:tcPr>
            <w:tcW w:w="5338"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23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15" w:type="dxa"/>
            <w:tcBorders>
              <w:top w:val="nil"/>
              <w:left w:val="nil"/>
              <w:bottom w:val="single" w:color="auto" w:sz="4" w:space="0"/>
              <w:right w:val="single" w:color="auto" w:sz="4" w:space="0"/>
            </w:tcBorders>
            <w:vAlign w:val="top"/>
          </w:tcPr>
          <w:p>
            <w:pPr>
              <w:widowControl/>
              <w:tabs>
                <w:tab w:val="right" w:pos="-94"/>
              </w:tabs>
              <w:jc w:val="center"/>
              <w:rPr>
                <w:rFonts w:ascii="宋体" w:hAnsi="宋体" w:cs="Arial"/>
                <w:color w:val="000000"/>
                <w:kern w:val="0"/>
                <w:sz w:val="22"/>
                <w:szCs w:val="22"/>
              </w:rPr>
            </w:pPr>
            <w:r>
              <w:rPr>
                <w:rFonts w:hint="eastAsia" w:ascii="宋体" w:hAnsi="宋体" w:cs="Arial"/>
                <w:kern w:val="0"/>
                <w:sz w:val="22"/>
                <w:szCs w:val="22"/>
              </w:rPr>
              <w:t>3</w:t>
            </w:r>
          </w:p>
        </w:tc>
        <w:tc>
          <w:tcPr>
            <w:tcW w:w="100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002" w:type="dxa"/>
            <w:tcBorders>
              <w:top w:val="nil"/>
              <w:left w:val="nil"/>
              <w:bottom w:val="single" w:color="auto" w:sz="4" w:space="0"/>
              <w:right w:val="single" w:color="auto" w:sz="4" w:space="0"/>
            </w:tcBorders>
            <w:vAlign w:val="top"/>
          </w:tcPr>
          <w:p>
            <w:pPr>
              <w:widowControl/>
              <w:tabs>
                <w:tab w:val="right" w:pos="-94"/>
                <w:tab w:val="center" w:pos="393"/>
              </w:tabs>
              <w:jc w:val="center"/>
              <w:rPr>
                <w:rFonts w:ascii="宋体" w:hAnsi="宋体" w:cs="Arial"/>
                <w:color w:val="000000"/>
                <w:kern w:val="0"/>
                <w:sz w:val="22"/>
                <w:szCs w:val="22"/>
              </w:rPr>
            </w:pPr>
            <w:r>
              <w:rPr>
                <w:rFonts w:hint="eastAsia" w:ascii="宋体" w:hAnsi="宋体" w:cs="Arial"/>
                <w:kern w:val="0"/>
                <w:sz w:val="22"/>
                <w:szCs w:val="22"/>
              </w:rPr>
              <w:t>5</w:t>
            </w:r>
          </w:p>
        </w:tc>
        <w:tc>
          <w:tcPr>
            <w:tcW w:w="1002" w:type="dxa"/>
            <w:tcBorders>
              <w:top w:val="nil"/>
              <w:left w:val="nil"/>
              <w:bottom w:val="single" w:color="auto" w:sz="4" w:space="0"/>
              <w:right w:val="single" w:color="auto" w:sz="4" w:space="0"/>
            </w:tcBorders>
            <w:vAlign w:val="top"/>
          </w:tcPr>
          <w:p>
            <w:pPr>
              <w:widowControl/>
              <w:tabs>
                <w:tab w:val="right" w:pos="-94"/>
                <w:tab w:val="center" w:pos="393"/>
              </w:tabs>
              <w:jc w:val="center"/>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9" w:hRule="atLeast"/>
          <w:jc w:val="center"/>
        </w:trPr>
        <w:tc>
          <w:tcPr>
            <w:tcW w:w="5338"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180.06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106.94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73.12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156.71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83.59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73.12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2013101</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6.88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其他共产党事务支出</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148.97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75.85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73.12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2013601</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73.06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73.06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2013602</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一般行政管理事务</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73.12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7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73.12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2013650</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2.79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2.79 </w:t>
            </w:r>
          </w:p>
        </w:tc>
        <w:tc>
          <w:tcPr>
            <w:tcW w:w="1715"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20137</w:t>
            </w:r>
          </w:p>
        </w:tc>
        <w:tc>
          <w:tcPr>
            <w:tcW w:w="3975"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网信事务</w:t>
            </w:r>
          </w:p>
        </w:tc>
        <w:tc>
          <w:tcPr>
            <w:tcW w:w="23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0.86 </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0.86 </w:t>
            </w:r>
          </w:p>
        </w:tc>
        <w:tc>
          <w:tcPr>
            <w:tcW w:w="1715"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2013750</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事业运行</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0.86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0.86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2.23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2.23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7.15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7.15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行政单位医疗</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3.56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3.56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0.01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0.01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公务员医疗补助</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保障性安居工程支出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2210102</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沉陷区治理</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9"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715"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002"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lang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lang w:eastAsia="zh-CN"/>
        </w:rPr>
        <w:t>注：本表反映部门本年度各项支出情况。</w:t>
      </w:r>
    </w:p>
    <w:p>
      <w:pPr>
        <w:rPr>
          <w:rFonts w:hint="eastAsia"/>
        </w:rPr>
      </w:pPr>
    </w:p>
    <w:p>
      <w:pPr>
        <w:ind w:firstLine="3600" w:firstLineChars="1000"/>
        <w:jc w:val="both"/>
        <w:rPr>
          <w:rFonts w:hint="eastAsia"/>
        </w:rPr>
      </w:pPr>
      <w:r>
        <w:rPr>
          <w:rFonts w:hint="eastAsia" w:ascii="方正小标宋简体" w:hAnsi="宋体" w:eastAsia="方正小标宋简体" w:cs="宋体"/>
          <w:kern w:val="0"/>
          <w:sz w:val="36"/>
          <w:szCs w:val="36"/>
        </w:rPr>
        <w:t>表四：财政拨款收入支出决算总表</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978"/>
        <w:gridCol w:w="555"/>
        <w:gridCol w:w="1447"/>
        <w:gridCol w:w="3372"/>
        <w:gridCol w:w="681"/>
        <w:gridCol w:w="1244"/>
        <w:gridCol w:w="23"/>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6"/>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97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4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gridSpan w:val="2"/>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168.78</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156.71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156.71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七、文化旅游体育与传媒支出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9.39 </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3.57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十、节能环保支出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w:t>
            </w:r>
          </w:p>
        </w:tc>
        <w:tc>
          <w:tcPr>
            <w:tcW w:w="126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43</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kern w:val="0"/>
                <w:sz w:val="22"/>
                <w:szCs w:val="22"/>
              </w:rPr>
            </w:pP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十四、资源勘探信息等支出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447"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p>
        </w:tc>
        <w:tc>
          <w:tcPr>
            <w:tcW w:w="5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44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十六、金融支出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w:t>
            </w:r>
          </w:p>
        </w:tc>
        <w:tc>
          <w:tcPr>
            <w:tcW w:w="126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nil"/>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十七、援助其他地区支出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10.39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二十、粮油物资储备支出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52</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二十二、其他支出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1540" w:firstLineChars="700"/>
              <w:jc w:val="left"/>
              <w:rPr>
                <w:rFonts w:hint="eastAsia" w:ascii="宋体" w:hAnsi="宋体" w:eastAsia="宋体" w:cs="Arial"/>
                <w:color w:val="000000"/>
                <w:kern w:val="0"/>
                <w:sz w:val="22"/>
                <w:szCs w:val="22"/>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二十三、债务还本支出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eastAsia="宋体" w:cs="Arial"/>
                <w:color w:val="000000"/>
                <w:kern w:val="0"/>
                <w:sz w:val="22"/>
                <w:szCs w:val="22"/>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二十四、债务付息支出</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55</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4"/>
                <w:szCs w:val="24"/>
                <w:u w:val="none"/>
                <w:lang w:val="en-US" w:eastAsia="zh-CN" w:bidi="ar"/>
              </w:rPr>
              <w:t xml:space="preserve">0.00 </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0.00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1540" w:firstLineChars="700"/>
              <w:jc w:val="left"/>
              <w:rPr>
                <w:rFonts w:hint="eastAsia" w:ascii="宋体" w:hAnsi="宋体" w:eastAsia="宋体" w:cs="Arial"/>
                <w:kern w:val="0"/>
                <w:sz w:val="22"/>
                <w:szCs w:val="22"/>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447"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56</w:t>
            </w:r>
          </w:p>
        </w:tc>
        <w:tc>
          <w:tcPr>
            <w:tcW w:w="1244"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　</w:t>
            </w:r>
          </w:p>
        </w:tc>
        <w:tc>
          <w:tcPr>
            <w:tcW w:w="1172" w:type="dxa"/>
            <w:gridSpan w:val="2"/>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本年收入合计</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4"/>
                <w:szCs w:val="24"/>
                <w:u w:val="none"/>
                <w:lang w:val="en-US" w:eastAsia="zh-CN" w:bidi="ar"/>
              </w:rPr>
              <w:t xml:space="preserve">168.78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本年支出合计</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57</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4"/>
                <w:szCs w:val="24"/>
                <w:u w:val="none"/>
                <w:lang w:val="en-US" w:eastAsia="zh-CN" w:bidi="ar"/>
              </w:rPr>
              <w:t xml:space="preserve">180.06 </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180.06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年初财政拨款结转和结余</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4"/>
                <w:szCs w:val="24"/>
                <w:u w:val="none"/>
                <w:lang w:val="en-US" w:eastAsia="zh-CN" w:bidi="ar"/>
              </w:rPr>
              <w:t xml:space="preserve">20.46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58</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lang w:val="en-US" w:eastAsia="zh-CN"/>
              </w:rPr>
            </w:pPr>
            <w:r>
              <w:rPr>
                <w:rFonts w:hint="eastAsia" w:ascii="宋体" w:hAnsi="宋体" w:eastAsia="宋体" w:cs="宋体"/>
                <w:i w:val="0"/>
                <w:color w:val="000000"/>
                <w:kern w:val="0"/>
                <w:sz w:val="24"/>
                <w:szCs w:val="24"/>
                <w:u w:val="none"/>
                <w:lang w:val="en-US" w:eastAsia="zh-CN" w:bidi="ar"/>
              </w:rPr>
              <w:t xml:space="preserve">9.18 </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9.18 </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kern w:val="0"/>
                <w:sz w:val="22"/>
                <w:szCs w:val="22"/>
                <w:lang w:val="en-US" w:eastAsia="zh-CN" w:bidi="ar-SA"/>
              </w:rPr>
            </w:pPr>
            <w:r>
              <w:rPr>
                <w:rFonts w:hint="eastAsia" w:ascii="宋体" w:hAnsi="宋体" w:cs="Arial"/>
                <w:kern w:val="0"/>
                <w:sz w:val="22"/>
                <w:szCs w:val="22"/>
              </w:rPr>
              <w:t>一般公共预算财政拨款</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4"/>
                <w:szCs w:val="24"/>
                <w:u w:val="none"/>
                <w:lang w:val="en-US" w:eastAsia="zh-CN" w:bidi="ar"/>
              </w:rPr>
              <w:t xml:space="preserve">20.46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59</w:t>
            </w:r>
          </w:p>
        </w:tc>
        <w:tc>
          <w:tcPr>
            <w:tcW w:w="1244"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　</w:t>
            </w:r>
          </w:p>
        </w:tc>
        <w:tc>
          <w:tcPr>
            <w:tcW w:w="1172" w:type="dxa"/>
            <w:gridSpan w:val="2"/>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政府性基金预算财政拨款</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4"/>
                <w:szCs w:val="24"/>
                <w:u w:val="none"/>
                <w:lang w:val="en-US" w:eastAsia="zh-CN" w:bidi="ar"/>
              </w:rPr>
              <w:t xml:space="preserve">0.00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60</w:t>
            </w:r>
          </w:p>
        </w:tc>
        <w:tc>
          <w:tcPr>
            <w:tcW w:w="1244"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　</w:t>
            </w:r>
          </w:p>
        </w:tc>
        <w:tc>
          <w:tcPr>
            <w:tcW w:w="1172" w:type="dxa"/>
            <w:gridSpan w:val="2"/>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 xml:space="preserve">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kern w:val="0"/>
                <w:sz w:val="22"/>
                <w:szCs w:val="22"/>
              </w:rPr>
            </w:pP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宋体"/>
                <w:i w:val="0"/>
                <w:color w:val="000000"/>
                <w:kern w:val="0"/>
                <w:sz w:val="22"/>
                <w:szCs w:val="22"/>
                <w:u w:val="none"/>
                <w:lang w:val="en-US" w:eastAsia="zh-CN" w:bidi="ar"/>
              </w:rPr>
              <w:t>61</w:t>
            </w:r>
          </w:p>
        </w:tc>
        <w:tc>
          <w:tcPr>
            <w:tcW w:w="1244"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172" w:type="dxa"/>
            <w:gridSpan w:val="2"/>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97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合计</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31</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4"/>
                <w:szCs w:val="24"/>
                <w:u w:val="none"/>
                <w:lang w:val="en-US" w:eastAsia="zh-CN" w:bidi="ar"/>
              </w:rPr>
              <w:t xml:space="preserve">189.23 </w:t>
            </w:r>
          </w:p>
        </w:tc>
        <w:tc>
          <w:tcPr>
            <w:tcW w:w="33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kern w:val="0"/>
                <w:sz w:val="22"/>
                <w:szCs w:val="22"/>
              </w:rPr>
              <w:t>合计</w:t>
            </w:r>
          </w:p>
        </w:tc>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bidi="ar-SA"/>
              </w:rPr>
            </w:pPr>
            <w:r>
              <w:rPr>
                <w:rFonts w:hint="eastAsia" w:ascii="宋体" w:hAnsi="宋体" w:cs="宋体"/>
                <w:i w:val="0"/>
                <w:color w:val="000000"/>
                <w:kern w:val="0"/>
                <w:sz w:val="22"/>
                <w:szCs w:val="22"/>
                <w:u w:val="none"/>
                <w:lang w:val="en-US" w:eastAsia="zh-CN" w:bidi="ar"/>
              </w:rPr>
              <w:t>62</w:t>
            </w:r>
          </w:p>
        </w:tc>
        <w:tc>
          <w:tcPr>
            <w:tcW w:w="1244"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　</w:t>
            </w:r>
          </w:p>
        </w:tc>
        <w:tc>
          <w:tcPr>
            <w:tcW w:w="1172" w:type="dxa"/>
            <w:gridSpan w:val="2"/>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hint="eastAsia" w:ascii="宋体" w:hAnsi="宋体" w:cs="Arial"/>
                <w:color w:val="000000"/>
                <w:kern w:val="0"/>
                <w:sz w:val="22"/>
                <w:szCs w:val="22"/>
              </w:rPr>
            </w:pPr>
          </w:p>
        </w:tc>
      </w:tr>
    </w:tbl>
    <w:p>
      <w:pPr>
        <w:jc w:val="right"/>
        <w:rPr>
          <w:rFonts w:hint="eastAsia"/>
          <w:sz w:val="22"/>
          <w:szCs w:val="22"/>
        </w:rPr>
      </w:pPr>
      <w:r>
        <w:rPr>
          <w:rFonts w:hint="eastAsia"/>
          <w:sz w:val="22"/>
          <w:szCs w:val="22"/>
        </w:rPr>
        <w:t>单位：万元</w:t>
      </w:r>
    </w:p>
    <w:p>
      <w:pPr>
        <w:rPr>
          <w:rFonts w:hint="eastAsia"/>
          <w:lang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283"/>
        <w:gridCol w:w="3740"/>
        <w:gridCol w:w="2160"/>
        <w:gridCol w:w="2900"/>
        <w:gridCol w:w="3396"/>
      </w:tblGrid>
      <w:tr>
        <w:tblPrEx>
          <w:tblCellMar>
            <w:top w:w="0" w:type="dxa"/>
            <w:left w:w="108" w:type="dxa"/>
            <w:bottom w:w="0" w:type="dxa"/>
            <w:right w:w="108" w:type="dxa"/>
          </w:tblCellMar>
        </w:tblPrEx>
        <w:trPr>
          <w:trHeight w:val="300" w:hRule="atLeast"/>
          <w:jc w:val="center"/>
        </w:trPr>
        <w:tc>
          <w:tcPr>
            <w:tcW w:w="50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374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02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16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02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180.06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106.94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73.12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156.71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83.59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73.12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w:t>
            </w:r>
          </w:p>
        </w:tc>
        <w:tc>
          <w:tcPr>
            <w:tcW w:w="3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2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6.88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6.88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2013101</w:t>
            </w:r>
          </w:p>
        </w:tc>
        <w:tc>
          <w:tcPr>
            <w:tcW w:w="3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2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6.88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6.88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20136</w:t>
            </w:r>
          </w:p>
        </w:tc>
        <w:tc>
          <w:tcPr>
            <w:tcW w:w="37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其他共产党事务支出</w:t>
            </w:r>
          </w:p>
        </w:tc>
        <w:tc>
          <w:tcPr>
            <w:tcW w:w="2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148.97 </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75.85 </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73.12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2013601</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73.06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73.06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2013602</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一般行政管理事务</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73.12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73.12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2013650</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事业运行</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2.79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2.79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20137</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网信事务</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0.86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0.86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2013750</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事业运行</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0.86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0.86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9.39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9.39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行政事业单位离退休</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9.39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9.39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归口管理的行政单位离退休</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2.23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2.23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机关事业单位基本养老保险缴费</w:t>
            </w:r>
            <w:r>
              <w:rPr>
                <w:rFonts w:hint="eastAsia" w:ascii="宋体" w:hAnsi="宋体" w:cs="宋体"/>
                <w:i w:val="0"/>
                <w:color w:val="000000"/>
                <w:kern w:val="0"/>
                <w:sz w:val="22"/>
                <w:szCs w:val="22"/>
                <w:u w:val="none"/>
                <w:lang w:val="en-US" w:eastAsia="zh-CN" w:bidi="ar"/>
              </w:rPr>
              <w:t>支</w:t>
            </w:r>
            <w:r>
              <w:rPr>
                <w:rFonts w:hint="eastAsia" w:ascii="宋体" w:hAnsi="宋体" w:eastAsia="宋体" w:cs="宋体"/>
                <w:i w:val="0"/>
                <w:color w:val="000000"/>
                <w:kern w:val="0"/>
                <w:sz w:val="22"/>
                <w:szCs w:val="22"/>
                <w:u w:val="none"/>
                <w:lang w:val="en-US" w:eastAsia="zh-CN" w:bidi="ar"/>
              </w:rPr>
              <w:t>出</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7.15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7.15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3.57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3.57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公共卫生</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2100409</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重大公共卫生专项</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3.57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3.57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3.56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3.56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2101102</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事业单位医疗</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0.01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0.01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公务员医疗补助</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7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一般公共服务支出</w:t>
            </w:r>
          </w:p>
        </w:tc>
        <w:tc>
          <w:tcPr>
            <w:tcW w:w="21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2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10.39 </w:t>
            </w:r>
          </w:p>
        </w:tc>
        <w:tc>
          <w:tcPr>
            <w:tcW w:w="3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9151" w:type="dxa"/>
        <w:tblInd w:w="91" w:type="dxa"/>
        <w:tblLayout w:type="fixed"/>
        <w:tblCellMar>
          <w:top w:w="0" w:type="dxa"/>
          <w:left w:w="108" w:type="dxa"/>
          <w:bottom w:w="0" w:type="dxa"/>
          <w:right w:w="108" w:type="dxa"/>
        </w:tblCellMar>
      </w:tblPr>
      <w:tblGrid>
        <w:gridCol w:w="916"/>
        <w:gridCol w:w="2738"/>
        <w:gridCol w:w="1333"/>
        <w:gridCol w:w="849"/>
        <w:gridCol w:w="1898"/>
        <w:gridCol w:w="1417"/>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支出经济分类科目编码</w:t>
            </w:r>
          </w:p>
        </w:tc>
        <w:tc>
          <w:tcPr>
            <w:tcW w:w="273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3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18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工资福利支出</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76.25</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商品和服务支出</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27.79</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30101</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基本工资</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30201</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办公费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30102</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津贴补贴</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印刷费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30103</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奖金</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42.47</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30203</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咨询费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30106</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伙食补助费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30204</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手续费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30107</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绩效工资</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6.88</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30205</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水费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0.61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30108</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机关事业单位基本养老保险缴费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7.15</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30206</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电费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30109</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职业年金缴费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30207</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邮电费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30110</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职工基本医疗保险缴费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3.57</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30208</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取暖费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30111</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公务员医疗补助缴费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30209</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物业管理费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0.42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30112</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其他社会保障缴费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0.18</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差旅费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8.22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30113</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住房公积金</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10.39</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30212</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因公出国（境）费用</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357"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30114</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医疗费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维修（护）费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30199</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其他工资福利支出</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3.62</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30214</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租赁费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对个人和家庭的补助</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2.89</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30215</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会议费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30301</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离休费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培训费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退休费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1.23</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公务接待费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0.92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30303</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退职（役）费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30218</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专用材料费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抚恤金</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30224</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被装购置费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生活补助</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30225</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专用燃料费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30306</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救济费</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劳务费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0.09</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30307</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医疗费补助</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委托业务费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30308</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助学金</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工会经费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奖励金</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福利费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30310</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个人农业生产补贴</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公务用车运行维护费</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73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其他对个人和家庭的补助</w:t>
            </w:r>
          </w:p>
        </w:tc>
        <w:tc>
          <w:tcPr>
            <w:tcW w:w="1333"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0.66</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898"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其他交通费用</w:t>
            </w:r>
          </w:p>
        </w:tc>
        <w:tc>
          <w:tcPr>
            <w:tcW w:w="1417"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trPr>
        <w:tc>
          <w:tcPr>
            <w:tcW w:w="36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eastAsia="zh-CN"/>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7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p>
        </w:tc>
        <w:tc>
          <w:tcPr>
            <w:tcW w:w="1417"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66" w:hRule="atLeast"/>
        </w:trPr>
        <w:tc>
          <w:tcPr>
            <w:tcW w:w="365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人员经费合计</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79.14</w:t>
            </w:r>
          </w:p>
        </w:tc>
        <w:tc>
          <w:tcPr>
            <w:tcW w:w="27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公用经费合计</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27.79</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0.92</w:t>
            </w:r>
          </w:p>
        </w:tc>
        <w:tc>
          <w:tcPr>
            <w:tcW w:w="1603"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216" w:type="dxa"/>
            <w:tcBorders>
              <w:top w:val="nil"/>
              <w:left w:val="nil"/>
              <w:bottom w:val="single" w:color="auto" w:sz="4" w:space="0"/>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0.92</w:t>
            </w: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0.92</w:t>
            </w:r>
          </w:p>
        </w:tc>
        <w:tc>
          <w:tcPr>
            <w:tcW w:w="1560"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ascii="Arial" w:hAnsi="Arial" w:cs="Arial"/>
                <w:color w:val="000000"/>
                <w:kern w:val="0"/>
                <w:sz w:val="20"/>
                <w:szCs w:val="20"/>
              </w:rPr>
            </w:pPr>
          </w:p>
        </w:tc>
        <w:tc>
          <w:tcPr>
            <w:tcW w:w="1398" w:type="dxa"/>
            <w:tcBorders>
              <w:top w:val="nil"/>
              <w:left w:val="nil"/>
              <w:bottom w:val="single" w:color="auto" w:sz="4" w:space="0"/>
              <w:right w:val="single" w:color="auto" w:sz="4" w:space="0"/>
            </w:tcBorders>
            <w:vAlign w:val="top"/>
          </w:tcPr>
          <w:p>
            <w:pPr>
              <w:widowControl/>
              <w:ind w:firstLine="400" w:firstLineChars="200"/>
              <w:jc w:val="center"/>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p>
        </w:tc>
        <w:tc>
          <w:tcPr>
            <w:tcW w:w="1183" w:type="dxa"/>
            <w:tcBorders>
              <w:top w:val="nil"/>
              <w:left w:val="nil"/>
              <w:bottom w:val="single" w:color="auto" w:sz="4" w:space="0"/>
              <w:right w:val="single" w:color="auto" w:sz="4" w:space="0"/>
            </w:tcBorders>
            <w:vAlign w:val="top"/>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0.92</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4"/>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lang w:eastAsia="zh-CN"/>
        </w:rPr>
        <w:t>注：本表反映部门本年度政府性基金预算财政拨款收入支出及结转和结余情况。</w:t>
      </w:r>
    </w:p>
    <w:p>
      <w:pPr>
        <w:spacing w:line="560" w:lineRule="exact"/>
        <w:ind w:firstLine="420" w:firstLineChars="200"/>
        <w:rPr>
          <w:rFonts w:hint="default" w:eastAsia="宋体"/>
          <w:lang w:val="en-US"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lang w:val="en-US" w:eastAsia="zh-CN"/>
        </w:rPr>
        <w:t>情况</w:t>
      </w:r>
      <w:bookmarkStart w:id="0" w:name="_GoBack"/>
      <w:bookmarkEnd w:id="0"/>
      <w:r>
        <w:rPr>
          <w:rFonts w:hint="eastAsia"/>
          <w:lang w:val="en-US" w:eastAsia="zh-CN"/>
        </w:rPr>
        <w:t>说明：市信访局2019年没有政府性基金预算财政拨款收入，也没有政府性基金预算财政拨款支出，故本表无数据</w:t>
      </w:r>
    </w:p>
    <w:p>
      <w:pPr>
        <w:spacing w:line="56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柳州市信访局201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left="638" w:leftChars="304" w:firstLine="0" w:firstLineChars="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年度收入总计</w:t>
      </w:r>
      <w:r>
        <w:rPr>
          <w:rFonts w:hint="eastAsia" w:ascii="仿宋_GB2312" w:eastAsia="仿宋_GB2312" w:cs="仿宋_GB2312"/>
          <w:b w:val="0"/>
          <w:bCs/>
          <w:kern w:val="0"/>
          <w:sz w:val="32"/>
          <w:szCs w:val="32"/>
          <w:lang w:val="en-US" w:eastAsia="zh-CN"/>
        </w:rPr>
        <w:t>189.23</w:t>
      </w:r>
      <w:r>
        <w:rPr>
          <w:rFonts w:hint="eastAsia" w:ascii="仿宋_GB2312" w:eastAsia="仿宋_GB2312" w:cs="仿宋_GB2312"/>
          <w:b w:val="0"/>
          <w:bCs/>
          <w:kern w:val="0"/>
          <w:sz w:val="32"/>
          <w:szCs w:val="32"/>
        </w:rPr>
        <w:t>万元，支出总计</w:t>
      </w:r>
      <w:r>
        <w:rPr>
          <w:rFonts w:hint="eastAsia" w:ascii="仿宋_GB2312" w:eastAsia="仿宋_GB2312" w:cs="仿宋_GB2312"/>
          <w:b w:val="0"/>
          <w:bCs/>
          <w:kern w:val="0"/>
          <w:sz w:val="32"/>
          <w:szCs w:val="32"/>
          <w:lang w:val="en-US" w:eastAsia="zh-CN"/>
        </w:rPr>
        <w:t>189.23</w:t>
      </w:r>
      <w:r>
        <w:rPr>
          <w:rFonts w:hint="eastAsia" w:ascii="仿宋_GB2312" w:eastAsia="仿宋_GB2312" w:cs="仿宋_GB2312"/>
          <w:b w:val="0"/>
          <w:bCs/>
          <w:kern w:val="0"/>
          <w:sz w:val="32"/>
          <w:szCs w:val="32"/>
        </w:rPr>
        <w:t>万元</w:t>
      </w: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default" w:ascii="仿宋_GB2312" w:eastAsia="仿宋_GB2312" w:cs="仿宋_GB2312"/>
          <w:b/>
          <w:kern w:val="0"/>
          <w:sz w:val="32"/>
          <w:szCs w:val="32"/>
          <w:lang w:val="en-US"/>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189.23</w:t>
      </w:r>
      <w:r>
        <w:rPr>
          <w:rFonts w:hint="eastAsia" w:ascii="仿宋_GB2312" w:eastAsia="仿宋_GB2312" w:cs="仿宋_GB2312"/>
          <w:b w:val="0"/>
          <w:bCs/>
          <w:kern w:val="0"/>
          <w:sz w:val="32"/>
          <w:szCs w:val="32"/>
        </w:rPr>
        <w:t>万元（逐项说明）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s="仿宋_GB2312"/>
          <w:b w:val="0"/>
          <w:bCs/>
          <w:kern w:val="0"/>
          <w:sz w:val="32"/>
          <w:szCs w:val="32"/>
          <w:lang w:val="en-US" w:eastAsia="zh-CN"/>
        </w:rPr>
        <w:t>168.78</w:t>
      </w:r>
      <w:r>
        <w:rPr>
          <w:rFonts w:hint="eastAsia" w:ascii="仿宋_GB2312" w:eastAsia="仿宋_GB2312" w:cs="仿宋_GB2312"/>
          <w:b w:val="0"/>
          <w:bCs/>
          <w:kern w:val="0"/>
          <w:sz w:val="32"/>
          <w:szCs w:val="32"/>
        </w:rPr>
        <w:t>万元</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占比</w:t>
      </w:r>
      <w:r>
        <w:rPr>
          <w:rFonts w:hint="eastAsia" w:ascii="仿宋_GB2312" w:eastAsia="仿宋_GB2312" w:cs="仿宋_GB2312"/>
          <w:b w:val="0"/>
          <w:bCs/>
          <w:kern w:val="0"/>
          <w:sz w:val="32"/>
          <w:szCs w:val="32"/>
          <w:lang w:val="en-US" w:eastAsia="zh-CN"/>
        </w:rPr>
        <w:t>89.19%</w:t>
      </w:r>
      <w:r>
        <w:rPr>
          <w:rFonts w:hint="eastAsia" w:ascii="仿宋_GB2312" w:eastAsia="仿宋_GB2312" w:cs="仿宋_GB2312"/>
          <w:b w:val="0"/>
          <w:bCs/>
          <w:kern w:val="0"/>
          <w:sz w:val="32"/>
          <w:szCs w:val="32"/>
        </w:rPr>
        <w:t> ；</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s="仿宋_GB2312"/>
          <w:b w:val="0"/>
          <w:bCs/>
          <w:kern w:val="0"/>
          <w:sz w:val="32"/>
          <w:szCs w:val="32"/>
          <w:lang w:val="en-US" w:eastAsia="zh-CN"/>
        </w:rPr>
        <w:t>0万元；占比0；</w:t>
      </w:r>
      <w:r>
        <w:rPr>
          <w:rFonts w:hint="eastAsia" w:ascii="仿宋_GB2312" w:eastAsia="仿宋_GB2312" w:cs="仿宋_GB2312"/>
          <w:b w:val="0"/>
          <w:bCs/>
          <w:kern w:val="0"/>
          <w:sz w:val="32"/>
          <w:szCs w:val="32"/>
        </w:rPr>
        <w:t>上级补助收入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 xml:space="preserve"> ；事业收入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 xml:space="preserve"> ；事业单位经营收入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其他收入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0；年初结转结余20.46万元，占比11.81%。</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本年支出合计</w:t>
      </w:r>
      <w:r>
        <w:rPr>
          <w:rFonts w:hint="eastAsia" w:ascii="仿宋_GB2312" w:eastAsia="仿宋_GB2312" w:cs="仿宋_GB2312"/>
          <w:b w:val="0"/>
          <w:bCs/>
          <w:kern w:val="0"/>
          <w:sz w:val="32"/>
          <w:szCs w:val="32"/>
          <w:lang w:val="en-US" w:eastAsia="zh-CN"/>
        </w:rPr>
        <w:t>180.06</w:t>
      </w:r>
      <w:r>
        <w:rPr>
          <w:rFonts w:hint="eastAsia" w:ascii="仿宋_GB2312" w:eastAsia="仿宋_GB2312" w:cs="仿宋_GB2312"/>
          <w:b w:val="0"/>
          <w:bCs/>
          <w:kern w:val="0"/>
          <w:sz w:val="32"/>
          <w:szCs w:val="32"/>
        </w:rPr>
        <w:t>万元（逐项说明），其中：基本支出</w:t>
      </w:r>
      <w:r>
        <w:rPr>
          <w:rFonts w:hint="eastAsia" w:ascii="仿宋_GB2312" w:eastAsia="仿宋_GB2312" w:cs="仿宋_GB2312"/>
          <w:b w:val="0"/>
          <w:bCs/>
          <w:kern w:val="0"/>
          <w:sz w:val="32"/>
          <w:szCs w:val="32"/>
          <w:lang w:val="en-US" w:eastAsia="zh-CN"/>
        </w:rPr>
        <w:t>106.94</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val="en-US" w:eastAsia="zh-CN"/>
        </w:rPr>
        <w:t>59.39</w:t>
      </w:r>
      <w:r>
        <w:rPr>
          <w:rFonts w:hint="eastAsia" w:ascii="仿宋_GB2312" w:eastAsia="仿宋_GB2312" w:cs="仿宋_GB2312"/>
          <w:b w:val="0"/>
          <w:bCs/>
          <w:kern w:val="0"/>
          <w:sz w:val="32"/>
          <w:szCs w:val="32"/>
        </w:rPr>
        <w:t>%；项目支出</w:t>
      </w:r>
      <w:r>
        <w:rPr>
          <w:rFonts w:hint="eastAsia" w:ascii="仿宋_GB2312" w:eastAsia="仿宋_GB2312" w:cs="仿宋_GB2312"/>
          <w:b w:val="0"/>
          <w:bCs/>
          <w:kern w:val="0"/>
          <w:sz w:val="32"/>
          <w:szCs w:val="32"/>
          <w:lang w:val="en-US" w:eastAsia="zh-CN"/>
        </w:rPr>
        <w:t>73.12</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val="en-US" w:eastAsia="zh-CN"/>
        </w:rPr>
        <w:t>40.61</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年度财政拨款收、支总决算</w:t>
      </w:r>
      <w:r>
        <w:rPr>
          <w:rFonts w:hint="eastAsia" w:ascii="仿宋_GB2312" w:eastAsia="仿宋_GB2312" w:cs="仿宋_GB2312"/>
          <w:bCs/>
          <w:kern w:val="0"/>
          <w:sz w:val="32"/>
          <w:szCs w:val="32"/>
          <w:lang w:val="en-US" w:eastAsia="zh-CN"/>
        </w:rPr>
        <w:t>189.23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189.23</w:t>
      </w:r>
      <w:r>
        <w:rPr>
          <w:rFonts w:hint="eastAsia" w:ascii="仿宋_GB2312" w:eastAsia="仿宋_GB2312" w:cs="仿宋_GB2312"/>
          <w:bCs/>
          <w:kern w:val="0"/>
          <w:sz w:val="32"/>
          <w:szCs w:val="32"/>
        </w:rPr>
        <w:t>万元。</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189.23</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w:t>
      </w:r>
      <w:r>
        <w:rPr>
          <w:rFonts w:hint="eastAsia" w:ascii="仿宋_GB2312" w:eastAsia="仿宋_GB2312" w:cs="仿宋_GB2312"/>
          <w:bCs/>
          <w:kern w:val="0"/>
          <w:sz w:val="32"/>
          <w:szCs w:val="32"/>
          <w:lang w:val="en-US" w:eastAsia="zh-CN"/>
        </w:rPr>
        <w:t>189.23</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185.41</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83.72</w:t>
      </w:r>
      <w:r>
        <w:rPr>
          <w:rFonts w:hint="eastAsia" w:ascii="仿宋_GB2312" w:eastAsia="仿宋_GB2312" w:cs="仿宋_GB2312"/>
          <w:bCs/>
          <w:kern w:val="0"/>
          <w:sz w:val="32"/>
          <w:szCs w:val="32"/>
        </w:rPr>
        <w:t>%； 教育（类）支出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%；科学技术（类）支出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%；文化体育与传媒（类）支出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11.74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6.21</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lang w:val="en-US" w:eastAsia="zh-CN"/>
        </w:rPr>
        <w:t>8.69万元，占4.59%；</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10.39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5.49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年度财政拨款支出年初预算为</w:t>
      </w:r>
      <w:r>
        <w:rPr>
          <w:rFonts w:hint="eastAsia" w:ascii="仿宋_GB2312" w:eastAsia="仿宋_GB2312" w:cs="仿宋_GB2312"/>
          <w:bCs/>
          <w:kern w:val="0"/>
          <w:sz w:val="32"/>
          <w:szCs w:val="32"/>
          <w:lang w:val="en-US" w:eastAsia="zh-CN"/>
        </w:rPr>
        <w:t>251.30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189.23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75.3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val="en-US" w:eastAsia="zh-CN"/>
        </w:rPr>
        <w:t>2019年因机构改革，未开立基本户，基本工资以及奖金绩效指标由原单位扣发，未扣除指标。</w:t>
      </w:r>
      <w:r>
        <w:rPr>
          <w:rFonts w:hint="eastAsia" w:ascii="仿宋_GB2312" w:eastAsia="仿宋_GB2312" w:cs="仿宋_GB2312"/>
          <w:bCs/>
          <w:kern w:val="0"/>
          <w:sz w:val="32"/>
          <w:szCs w:val="32"/>
        </w:rPr>
        <w:t xml:space="preserve">其中：（根据公开表格作表述，有则表述） </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一般公共服务（类）党委办公厅（室）及相关机构事务（款）行政运行（项）。年初预算为</w:t>
      </w:r>
      <w:r>
        <w:rPr>
          <w:rFonts w:hint="eastAsia" w:ascii="仿宋_GB2312" w:eastAsia="仿宋_GB2312" w:cs="仿宋_GB2312"/>
          <w:bCs/>
          <w:kern w:val="0"/>
          <w:sz w:val="32"/>
          <w:szCs w:val="32"/>
          <w:lang w:val="en-US" w:eastAsia="zh-CN"/>
        </w:rPr>
        <w:t>134.25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73.06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54.42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val="en-US" w:eastAsia="zh-CN"/>
        </w:rPr>
        <w:t>2019年因机构改革，未开立基本户，基本工资以及奖金绩效指标由原单位扣发，未扣除指标。</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一般公共服务（类）一般公共服务支出（款）一般行政管理事 务（项）。年初预算为</w:t>
      </w:r>
      <w:r>
        <w:rPr>
          <w:rFonts w:hint="eastAsia" w:ascii="仿宋_GB2312" w:eastAsia="仿宋_GB2312" w:cs="仿宋_GB2312"/>
          <w:bCs/>
          <w:kern w:val="0"/>
          <w:sz w:val="32"/>
          <w:szCs w:val="32"/>
          <w:lang w:val="en-US" w:eastAsia="zh-CN"/>
        </w:rPr>
        <w:t>73.18</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73.12</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99.92</w:t>
      </w:r>
      <w:r>
        <w:rPr>
          <w:rFonts w:hint="eastAsia" w:ascii="仿宋_GB2312" w:eastAsia="仿宋_GB2312" w:cs="仿宋_GB2312"/>
          <w:bCs/>
          <w:kern w:val="0"/>
          <w:sz w:val="32"/>
          <w:szCs w:val="32"/>
        </w:rPr>
        <w:t xml:space="preserve"> %。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3.一般公共服务（类）一般公共服务支出（款）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2.79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94.26</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社会保障和就业支出（类）行政事业单位离退休（款）</w:t>
      </w:r>
      <w:r>
        <w:rPr>
          <w:rFonts w:hint="eastAsia" w:ascii="仿宋_GB2312" w:eastAsia="仿宋_GB2312" w:cs="仿宋_GB2312"/>
          <w:bCs/>
          <w:kern w:val="0"/>
          <w:sz w:val="32"/>
          <w:szCs w:val="32"/>
          <w:lang w:val="en-US" w:eastAsia="zh-CN"/>
        </w:rPr>
        <w:t>归口管理的行政单位离退休(项）。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1.48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150.66</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社会保障和就业支出（类）行政事业单位离退休（款）</w:t>
      </w:r>
      <w:r>
        <w:rPr>
          <w:rFonts w:hint="eastAsia" w:ascii="仿宋_GB2312" w:eastAsia="仿宋_GB2312" w:cs="仿宋_GB2312"/>
          <w:bCs/>
          <w:kern w:val="0"/>
          <w:sz w:val="32"/>
          <w:szCs w:val="32"/>
          <w:lang w:val="en-US" w:eastAsia="zh-CN"/>
        </w:rPr>
        <w:t>机关事业单位基本养老保险缴费支出(项）。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17.25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7.15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41.52</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卫生健康支出（类）</w:t>
      </w:r>
      <w:r>
        <w:rPr>
          <w:rFonts w:hint="eastAsia" w:ascii="仿宋_GB2312" w:eastAsia="仿宋_GB2312" w:cs="仿宋_GB2312"/>
          <w:bCs/>
          <w:kern w:val="0"/>
          <w:sz w:val="32"/>
          <w:szCs w:val="32"/>
          <w:lang w:eastAsia="zh-CN"/>
        </w:rPr>
        <w:t>公共卫生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重大公共卫生专项(项）。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当年新增预算。</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卫生健康支出（类）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行政单位医疗(项）。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3.56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卫生健康支出（类）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事业单位医疗(项）。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0.17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0.01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住房保障支出（类）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住房公积金(项）。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10.39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年度一般公共预算财政拨款基本支出决算情况（根据实际情况作表述 </w:t>
      </w:r>
      <w:r>
        <w:rPr>
          <w:rFonts w:hint="eastAsia" w:ascii="仿宋_GB2312" w:eastAsia="仿宋_GB2312" w:cs="仿宋_GB2312"/>
          <w:b/>
          <w:bCs w:val="0"/>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106.94</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 xml:space="preserve"> 人员经费</w:t>
      </w:r>
      <w:r>
        <w:rPr>
          <w:rFonts w:hint="eastAsia" w:ascii="仿宋_GB2312" w:eastAsia="仿宋_GB2312" w:cs="仿宋_GB2312"/>
          <w:b w:val="0"/>
          <w:bCs/>
          <w:kern w:val="0"/>
          <w:sz w:val="32"/>
          <w:szCs w:val="32"/>
          <w:lang w:val="en-US" w:eastAsia="zh-CN"/>
        </w:rPr>
        <w:t>79.14</w:t>
      </w:r>
      <w:r>
        <w:rPr>
          <w:rFonts w:hint="eastAsia" w:ascii="仿宋_GB2312" w:eastAsia="仿宋_GB2312" w:cs="仿宋_GB2312"/>
          <w:b w:val="0"/>
          <w:bCs/>
          <w:kern w:val="0"/>
          <w:sz w:val="32"/>
          <w:szCs w:val="32"/>
        </w:rPr>
        <w:t>万元，主要包括：基本工资</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 xml:space="preserve"> 奖金、伙食补助费、绩效工资、机关事业单位基本养老保险缴费、其他社会保障缴费、其他工资福利支出、退休费、其他对个人和家庭的补助、住房公积金；</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27.79</w:t>
      </w:r>
      <w:r>
        <w:rPr>
          <w:rFonts w:hint="eastAsia" w:ascii="仿宋_GB2312" w:eastAsia="仿宋_GB2312" w:cs="仿宋_GB2312"/>
          <w:b w:val="0"/>
          <w:bCs/>
          <w:kern w:val="0"/>
          <w:sz w:val="32"/>
          <w:szCs w:val="32"/>
        </w:rPr>
        <w:t>万元，主要 包括：办公费、印刷费、水费、电费、邮电费、物业管理费、差旅费、维 修（护）费、租赁费、会议费、培训费、公务接待费、</w:t>
      </w:r>
      <w:r>
        <w:rPr>
          <w:rFonts w:hint="eastAsia" w:ascii="仿宋_GB2312" w:eastAsia="仿宋_GB2312" w:cs="仿宋_GB2312"/>
          <w:b w:val="0"/>
          <w:bCs/>
          <w:kern w:val="0"/>
          <w:sz w:val="32"/>
          <w:szCs w:val="32"/>
          <w:lang w:eastAsia="zh-CN"/>
        </w:rPr>
        <w:t>劳务费、</w:t>
      </w:r>
      <w:r>
        <w:rPr>
          <w:rFonts w:hint="eastAsia" w:ascii="仿宋_GB2312" w:eastAsia="仿宋_GB2312" w:cs="仿宋_GB2312"/>
          <w:b w:val="0"/>
          <w:bCs/>
          <w:kern w:val="0"/>
          <w:sz w:val="32"/>
          <w:szCs w:val="32"/>
        </w:rPr>
        <w:t>其他商品和服务支出</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年度“三公”经费财政拨款支出决算中，因公出国（境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人次（必须说明）。开支内容包括：</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0.92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，经费使用调剂为办公用品采购开支，并未接待。</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 （根据实际情况作表述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万元。其中，支出情况为：</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%，决算大于（小于）预算数主要原因：一是年中追加安排财政拨款支出预算，涉及项目有</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；二是部分支出按规定，通过使用以前年度财政拨款结转资金解决。其中：（根据公开表格作表述）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1.城乡社区支出（类）政府住房基金及对应专项债务收入安排支出（款）费用支出（项）。年初预算为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2"/>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我局为</w:t>
      </w:r>
      <w:r>
        <w:rPr>
          <w:rFonts w:hint="eastAsia" w:ascii="仿宋_GB2312" w:eastAsia="仿宋_GB2312" w:cs="仿宋_GB2312"/>
          <w:bCs/>
          <w:kern w:val="0"/>
          <w:sz w:val="32"/>
          <w:szCs w:val="32"/>
          <w:lang w:val="en-US" w:eastAsia="zh-CN"/>
        </w:rPr>
        <w:t>2019年机构改革新独立单位，未设置预算绩效。</w:t>
      </w:r>
      <w:r>
        <w:rPr>
          <w:rFonts w:hint="eastAsia" w:ascii="仿宋_GB2312" w:eastAsia="仿宋_GB2312" w:cs="仿宋_GB2312"/>
          <w:bCs/>
          <w:kern w:val="0"/>
          <w:sz w:val="32"/>
          <w:szCs w:val="32"/>
        </w:rPr>
        <w:t xml:space="preserve"> </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r>
        <w:rPr>
          <w:rFonts w:hint="eastAsia" w:ascii="仿宋_GB2312" w:eastAsia="仿宋_GB2312" w:cs="仿宋_GB2312"/>
          <w:bCs/>
          <w:kern w:val="0"/>
          <w:sz w:val="32"/>
          <w:szCs w:val="32"/>
          <w:lang w:eastAsia="zh-CN"/>
        </w:rPr>
        <w:t>。</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73.06</w:t>
      </w:r>
      <w:r>
        <w:rPr>
          <w:rFonts w:hint="eastAsia" w:ascii="仿宋_GB2312" w:eastAsia="仿宋_GB2312" w:cs="仿宋_GB2312"/>
          <w:kern w:val="0"/>
          <w:sz w:val="32"/>
          <w:szCs w:val="32"/>
        </w:rPr>
        <w:t>万元。</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45.12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45.12</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w:t>
      </w:r>
      <w:r>
        <w:rPr>
          <w:rFonts w:hint="eastAsia" w:ascii="仿宋_GB2312" w:eastAsia="仿宋_GB2312" w:cs="仿宋_GB2312"/>
          <w:kern w:val="0"/>
          <w:sz w:val="32"/>
          <w:szCs w:val="32"/>
          <w:lang w:eastAsia="zh-CN"/>
        </w:rPr>
        <w:t>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台</w:t>
      </w:r>
      <w:r>
        <w:rPr>
          <w:rFonts w:hint="eastAsia" w:ascii="仿宋_GB2312" w:eastAsia="仿宋_GB2312" w:cs="仿宋_GB2312"/>
          <w:kern w:val="0"/>
          <w:sz w:val="32"/>
          <w:szCs w:val="32"/>
        </w:rPr>
        <w:t xml:space="preserve">（套）。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D06BE"/>
    <w:multiLevelType w:val="singleLevel"/>
    <w:tmpl w:val="1C8D06BE"/>
    <w:lvl w:ilvl="0" w:tentative="0">
      <w:start w:val="1"/>
      <w:numFmt w:val="decimal"/>
      <w:lvlText w:val="%1."/>
      <w:lvlJc w:val="left"/>
      <w:pPr>
        <w:tabs>
          <w:tab w:val="left" w:pos="312"/>
        </w:tabs>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178358B"/>
    <w:rsid w:val="14FA4038"/>
    <w:rsid w:val="26460DBA"/>
    <w:rsid w:val="2C4219FE"/>
    <w:rsid w:val="30CF77B1"/>
    <w:rsid w:val="32EE30D5"/>
    <w:rsid w:val="37B36210"/>
    <w:rsid w:val="39A63F06"/>
    <w:rsid w:val="3E757E7C"/>
    <w:rsid w:val="3ED1439F"/>
    <w:rsid w:val="44C96CEF"/>
    <w:rsid w:val="494C60EA"/>
    <w:rsid w:val="4BC43A94"/>
    <w:rsid w:val="4C256E3D"/>
    <w:rsid w:val="4CB52F0F"/>
    <w:rsid w:val="514C7165"/>
    <w:rsid w:val="532F1F9A"/>
    <w:rsid w:val="535F3183"/>
    <w:rsid w:val="540A46BF"/>
    <w:rsid w:val="54924292"/>
    <w:rsid w:val="607757C9"/>
    <w:rsid w:val="62163194"/>
    <w:rsid w:val="62DB4F7C"/>
    <w:rsid w:val="665D3E48"/>
    <w:rsid w:val="68376572"/>
    <w:rsid w:val="6A077D8E"/>
    <w:rsid w:val="72CA2EC0"/>
    <w:rsid w:val="77632488"/>
    <w:rsid w:val="7B832A39"/>
    <w:rsid w:val="7E73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Haley</cp:lastModifiedBy>
  <dcterms:modified xsi:type="dcterms:W3CDTF">2021-06-10T09:43:57Z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2FD1FDD57DF5499C876F23C44E0C6C34</vt:lpwstr>
  </property>
</Properties>
</file>